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289" w:type="dxa"/>
        <w:tblLook w:val="04A0" w:firstRow="1" w:lastRow="0" w:firstColumn="1" w:lastColumn="0" w:noHBand="0" w:noVBand="1"/>
      </w:tblPr>
      <w:tblGrid>
        <w:gridCol w:w="4253"/>
        <w:gridCol w:w="5387"/>
      </w:tblGrid>
      <w:tr>
        <w:trPr>
          <w:trHeight w:val="1220"/>
        </w:trPr>
        <w:tc>
          <w:tcPr>
            <w:tcW w:w="4253" w:type="dxa"/>
          </w:tcPr>
          <w:p>
            <w:pPr>
              <w:jc w:val="center"/>
              <w:rPr>
                <w:lang w:eastAsia="en-US"/>
              </w:rPr>
            </w:pPr>
            <w:r>
              <w:t>UBND TỈNH BÀ RỊA – VŨNG TÀU</w:t>
            </w:r>
          </w:p>
          <w:p>
            <w:pPr>
              <w:spacing w:before="60"/>
              <w:jc w:val="center"/>
              <w:rPr>
                <w:b/>
              </w:rPr>
            </w:pPr>
            <w:r>
              <w:rPr>
                <w:b/>
              </w:rPr>
              <w:t>SỞ TÀI NGUYÊN VÀ MÔI TRƯỜNG</w:t>
            </w:r>
          </w:p>
          <w:p>
            <w:pPr>
              <w:jc w:val="center"/>
              <w:rPr>
                <w:b/>
              </w:rPr>
            </w:pPr>
            <w:r>
              <w:rPr>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744855</wp:posOffset>
                      </wp:positionH>
                      <wp:positionV relativeFrom="paragraph">
                        <wp:posOffset>48260</wp:posOffset>
                      </wp:positionV>
                      <wp:extent cx="1062355" cy="0"/>
                      <wp:effectExtent l="0" t="0" r="23495"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A3052B" id="_x0000_t32" coordsize="21600,21600" o:spt="32" o:oned="t" path="m,l21600,21600e" filled="f">
                      <v:path arrowok="t" fillok="f" o:connecttype="none"/>
                      <o:lock v:ext="edit" shapetype="t"/>
                    </v:shapetype>
                    <v:shape id="Straight Arrow Connector 13" o:spid="_x0000_s1026" type="#_x0000_t32" style="position:absolute;margin-left:58.65pt;margin-top:3.8pt;width:83.6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"/>
                  </w:pict>
                </mc:Fallback>
              </mc:AlternateContent>
            </w:r>
          </w:p>
          <w:p>
            <w:pPr>
              <w:jc w:val="center"/>
              <w:rPr>
                <w:sz w:val="27"/>
                <w:szCs w:val="27"/>
              </w:rPr>
            </w:pPr>
            <w:r>
              <w:rPr>
                <w:sz w:val="27"/>
                <w:szCs w:val="27"/>
              </w:rPr>
              <w:t>Số:               /</w:t>
            </w:r>
            <w:r>
              <w:rPr>
                <w:sz w:val="27"/>
                <w:szCs w:val="27"/>
                <w:lang w:val="en-US"/>
              </w:rPr>
              <w:t>TTr-</w:t>
            </w:r>
            <w:r>
              <w:rPr>
                <w:sz w:val="27"/>
                <w:szCs w:val="27"/>
              </w:rPr>
              <w:t>STNMT</w:t>
            </w:r>
          </w:p>
        </w:tc>
        <w:tc>
          <w:tcPr>
            <w:tcW w:w="5387" w:type="dxa"/>
          </w:tcPr>
          <w:p>
            <w:pPr>
              <w:jc w:val="center"/>
              <w:rPr>
                <w:b/>
              </w:rPr>
            </w:pPr>
            <w:r>
              <w:rPr>
                <w:b/>
              </w:rPr>
              <w:t xml:space="preserve">CỘNG HÒA XÃ HỘI CHỦ NGHĨA VIỆT </w:t>
            </w:r>
            <w:smartTag w:uri="urn:schemas-microsoft-com:office:smarttags" w:element="place">
              <w:smartTag w:uri="urn:schemas-microsoft-com:office:smarttags" w:element="country-region">
                <w:r>
                  <w:rPr>
                    <w:b/>
                  </w:rPr>
                  <w:t>NAM</w:t>
                </w:r>
              </w:smartTag>
            </w:smartTag>
          </w:p>
          <w:p>
            <w:pPr>
              <w:jc w:val="center"/>
              <w:rPr>
                <w:b/>
                <w:sz w:val="27"/>
                <w:szCs w:val="27"/>
              </w:rPr>
            </w:pPr>
            <w:r>
              <w:rPr>
                <w:b/>
                <w:sz w:val="27"/>
                <w:szCs w:val="27"/>
              </w:rPr>
              <w:t xml:space="preserve">Độc lập - Tự do - Hạnh phúc  </w:t>
            </w:r>
          </w:p>
          <w:p>
            <w:pPr>
              <w:jc w:val="center"/>
              <w:rPr>
                <w:b/>
                <w:sz w:val="26"/>
                <w:szCs w:val="26"/>
              </w:rPr>
            </w:pPr>
            <w:r>
              <w:rPr>
                <w:noProof/>
                <w:lang w:val="en-US" w:eastAsia="en-US"/>
              </w:rPr>
              <mc:AlternateContent>
                <mc:Choice Requires="wps">
                  <w:drawing>
                    <wp:anchor distT="0" distB="0" distL="114300" distR="114300" simplePos="0" relativeHeight="251672576" behindDoc="0" locked="0" layoutInCell="1" allowOverlap="1">
                      <wp:simplePos x="0" y="0"/>
                      <wp:positionH relativeFrom="column">
                        <wp:posOffset>588010</wp:posOffset>
                      </wp:positionH>
                      <wp:positionV relativeFrom="paragraph">
                        <wp:posOffset>40640</wp:posOffset>
                      </wp:positionV>
                      <wp:extent cx="2124710" cy="0"/>
                      <wp:effectExtent l="0" t="0" r="27940"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AB80BE" id="Straight Arrow Connector 12" o:spid="_x0000_s1026" type="#_x0000_t32" style="position:absolute;margin-left:46.3pt;margin-top:3.2pt;width:167.3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"/>
                  </w:pict>
                </mc:Fallback>
              </mc:AlternateContent>
            </w:r>
          </w:p>
          <w:p>
            <w:pPr>
              <w:jc w:val="center"/>
              <w:rPr>
                <w:sz w:val="27"/>
                <w:szCs w:val="27"/>
              </w:rPr>
            </w:pPr>
            <w:r>
              <w:rPr>
                <w:i/>
                <w:sz w:val="27"/>
                <w:szCs w:val="27"/>
              </w:rPr>
              <w:t>Bà Rịa - Vũng Tàu, ngày     tháng 1</w:t>
            </w:r>
            <w:r>
              <w:rPr>
                <w:i/>
                <w:sz w:val="27"/>
                <w:szCs w:val="27"/>
                <w:lang w:val="en-US"/>
              </w:rPr>
              <w:t>1</w:t>
            </w:r>
            <w:r>
              <w:rPr>
                <w:i/>
                <w:sz w:val="27"/>
                <w:szCs w:val="27"/>
              </w:rPr>
              <w:t xml:space="preserve"> năm 2024</w:t>
            </w:r>
          </w:p>
        </w:tc>
      </w:tr>
    </w:tbl>
    <w:p>
      <w:pPr>
        <w:shd w:val="clear" w:color="auto" w:fill="FFFFFF"/>
        <w:spacing w:before="120"/>
        <w:jc w:val="center"/>
        <w:rPr>
          <w:b/>
          <w:sz w:val="28"/>
          <w:szCs w:val="28"/>
        </w:rP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145514</wp:posOffset>
                </wp:positionH>
                <wp:positionV relativeFrom="paragraph">
                  <wp:posOffset>106148</wp:posOffset>
                </wp:positionV>
                <wp:extent cx="1291590" cy="499110"/>
                <wp:effectExtent l="0" t="0" r="22860" b="15240"/>
                <wp:wrapNone/>
                <wp:docPr id="2" name="Rectangle 2"/>
                <wp:cNvGraphicFramePr/>
                <a:graphic xmlns:a="http://schemas.openxmlformats.org/drawingml/2006/main">
                  <a:graphicData uri="http://schemas.microsoft.com/office/word/2010/wordprocessingShape">
                    <wps:wsp>
                      <wps:cNvSpPr/>
                      <wps:spPr>
                        <a:xfrm>
                          <a:off x="0" y="0"/>
                          <a:ext cx="1291590" cy="499110"/>
                        </a:xfrm>
                        <a:prstGeom prst="rect">
                          <a:avLst/>
                        </a:prstGeom>
                        <a:solidFill>
                          <a:schemeClr val="lt1"/>
                        </a:solidFill>
                        <a:ln w="12700" cap="flat" cmpd="sng">
                          <a:solidFill>
                            <a:schemeClr val="dk1"/>
                          </a:solidFill>
                          <a:prstDash val="solid"/>
                          <a:miter lim="800000"/>
                          <a:headEnd type="none" w="sm" len="sm"/>
                          <a:tailEnd type="none" w="sm" len="sm"/>
                        </a:ln>
                      </wps:spPr>
                      <wps:txbx>
                        <w:txbxContent>
                          <w:p>
                            <w:pPr>
                              <w:jc w:val="center"/>
                            </w:pPr>
                            <w:r>
                              <w:rPr>
                                <w:b/>
                                <w:color w:val="000000"/>
                              </w:rPr>
                              <w:t>DỰ THẢO</w:t>
                            </w:r>
                          </w:p>
                          <w:p>
                            <w:pPr>
                              <w:jc w:val="center"/>
                            </w:pPr>
                            <w:r>
                              <w:rPr>
                                <w:color w:val="000000"/>
                              </w:rPr>
                              <w:t xml:space="preserve">Ngày </w:t>
                            </w:r>
                            <w:r>
                              <w:rPr>
                                <w:color w:val="000000"/>
                                <w:lang w:val="en-US"/>
                              </w:rPr>
                              <w:t>13/11/2024</w:t>
                            </w:r>
                          </w:p>
                        </w:txbxContent>
                      </wps:txbx>
                      <wps:bodyPr spcFirstLastPara="1" wrap="square" lIns="91425" tIns="45700" rIns="91425" bIns="45700" anchor="ctr" anchorCtr="0">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1.45pt;margin-top:8.35pt;width:101.7pt;height:39.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" fillcolor="white [3201]" strokecolor="black [3200]" strokeweight="1pt">
                <v:stroke startarrowwidth="narrow" startarrowlength="short" endarrowwidth="narrow" endarrowlength="short"/>
                <v:textbox inset="2.53958mm,1.2694mm,2.53958mm,1.2694mm">
                  <w:txbxContent>
                    <w:p>
                      <w:pPr>
                        <w:jc w:val="center"/>
                      </w:pPr>
                      <w:r>
                        <w:rPr>
                          <w:b/>
                          <w:color w:val="000000"/>
                        </w:rPr>
                        <w:t>DỰ THẢO</w:t>
                      </w:r>
                    </w:p>
                    <w:p>
                      <w:pPr>
                        <w:jc w:val="center"/>
                      </w:pPr>
                      <w:r>
                        <w:rPr>
                          <w:color w:val="000000"/>
                        </w:rPr>
                        <w:t xml:space="preserve">Ngày </w:t>
                      </w:r>
                      <w:r>
                        <w:rPr>
                          <w:color w:val="000000"/>
                          <w:lang w:val="en-US"/>
                        </w:rPr>
                        <w:t>13/11/2024</w:t>
                      </w:r>
                    </w:p>
                  </w:txbxContent>
                </v:textbox>
              </v:rect>
            </w:pict>
          </mc:Fallback>
        </mc:AlternateContent>
      </w:r>
    </w:p>
    <w:p>
      <w:pPr>
        <w:shd w:val="clear" w:color="auto" w:fill="FFFFFF"/>
        <w:spacing w:before="120"/>
        <w:jc w:val="center"/>
        <w:rPr>
          <w:b/>
          <w:sz w:val="28"/>
          <w:szCs w:val="28"/>
        </w:rPr>
      </w:pPr>
    </w:p>
    <w:p>
      <w:pPr>
        <w:shd w:val="clear" w:color="auto" w:fill="FFFFFF"/>
        <w:spacing w:before="120"/>
        <w:jc w:val="center"/>
        <w:rPr>
          <w:sz w:val="28"/>
          <w:szCs w:val="28"/>
        </w:rPr>
      </w:pPr>
      <w:r>
        <w:rPr>
          <w:b/>
          <w:sz w:val="28"/>
          <w:szCs w:val="28"/>
        </w:rPr>
        <w:t>TỜ TRÌNH</w:t>
      </w:r>
    </w:p>
    <w:p>
      <w:pPr>
        <w:spacing w:before="60" w:after="60" w:line="340" w:lineRule="exact"/>
        <w:jc w:val="center"/>
        <w:rPr>
          <w:b/>
          <w:sz w:val="28"/>
          <w:szCs w:val="28"/>
        </w:rPr>
      </w:pPr>
      <w:r>
        <w:rPr>
          <w:b/>
          <w:sz w:val="28"/>
          <w:szCs w:val="28"/>
        </w:rPr>
        <w:t xml:space="preserve">Dự thảo Quyết định quy định các yếu tố ảnh hưởng đến giá đất, mức độ chênh lệch tối đa của từng yếu tố ảnh hưởng đến giá đất để xác định mức tương đồng nhất định, cách thức điều chỉnh đối với từng mức độ chênh lệch của từng yếu tố ảnh hưởng đến giá đất trong xác định giá đất cụ thể trên địa bàn tỉnh Bà Rịa - Vũng Tàu </w:t>
      </w:r>
    </w:p>
    <w:p>
      <w:pPr>
        <w:spacing w:before="60" w:after="60" w:line="340" w:lineRule="exact"/>
        <w:jc w:val="center"/>
        <w:rPr>
          <w:b/>
          <w:sz w:val="28"/>
          <w:szCs w:val="28"/>
        </w:rPr>
      </w:pPr>
      <w:r>
        <w:rPr>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2171700</wp:posOffset>
                </wp:positionH>
                <wp:positionV relativeFrom="paragraph">
                  <wp:posOffset>139700</wp:posOffset>
                </wp:positionV>
                <wp:extent cx="5080" cy="12700"/>
                <wp:effectExtent l="0" t="0" r="33020" b="25400"/>
                <wp:wrapNone/>
                <wp:docPr id="1" name="Straight Arrow Connector 1"/>
                <wp:cNvGraphicFramePr/>
                <a:graphic xmlns:a="http://schemas.openxmlformats.org/drawingml/2006/main">
                  <a:graphicData uri="http://schemas.microsoft.com/office/word/2010/wordprocessingShape">
                    <wps:wsp>
                      <wps:cNvCnPr/>
                      <wps:spPr>
                        <a:xfrm>
                          <a:off x="0" y="0"/>
                          <a:ext cx="5080" cy="12700"/>
                        </a:xfrm>
                        <a:prstGeom prst="straightConnector1">
                          <a:avLst/>
                        </a:prstGeom>
                        <a:noFill/>
                        <a:ln w="9525" cap="flat" cmpd="sng">
                          <a:solidFill>
                            <a:schemeClr val="dk1"/>
                          </a:solidFill>
                          <a:prstDash val="solid"/>
                          <a:miter lim="800000"/>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 w14:anchorId="001D34D3" id="Straight Arrow Connector 1" o:spid="_x0000_s1026" type="#_x0000_t32" style="position:absolute;margin-left:171pt;margin-top:11pt;width:.4pt;height: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" strokecolor="black [3200]">
                <v:stroke startarrowwidth="narrow" startarrowlength="short" endarrowwidth="narrow" endarrowlength="short" joinstyle="miter"/>
              </v:shape>
            </w:pict>
          </mc:Fallback>
        </mc:AlternateContent>
      </w:r>
      <w:r>
        <w:rPr>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2469515</wp:posOffset>
                </wp:positionH>
                <wp:positionV relativeFrom="paragraph">
                  <wp:posOffset>71120</wp:posOffset>
                </wp:positionV>
                <wp:extent cx="103505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035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9682FBB" id="Straight Connector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45pt,5.6pt" to="275.9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" strokecolor="#4472c4 [3204]" strokeweight=".5pt">
                <v:stroke joinstyle="miter"/>
              </v:line>
            </w:pict>
          </mc:Fallback>
        </mc:AlternateContent>
      </w:r>
    </w:p>
    <w:p>
      <w:pPr>
        <w:tabs>
          <w:tab w:val="left" w:pos="3780"/>
        </w:tabs>
        <w:spacing w:before="60" w:after="60" w:line="340" w:lineRule="exact"/>
        <w:jc w:val="center"/>
        <w:rPr>
          <w:b/>
          <w:sz w:val="28"/>
          <w:szCs w:val="28"/>
        </w:rPr>
      </w:pPr>
      <w:r>
        <w:rPr>
          <w:sz w:val="28"/>
          <w:szCs w:val="28"/>
        </w:rPr>
        <w:t xml:space="preserve">Kính gửi: </w:t>
      </w:r>
      <w:r>
        <w:rPr>
          <w:sz w:val="28"/>
          <w:szCs w:val="28"/>
          <w:lang w:val="en-US"/>
        </w:rPr>
        <w:t xml:space="preserve">Chủ tịch </w:t>
      </w:r>
      <w:r>
        <w:rPr>
          <w:sz w:val="28"/>
          <w:szCs w:val="28"/>
        </w:rPr>
        <w:t>Ủy ban nhân dân tỉnh Bà Rịa - Vũng Tàu</w:t>
      </w:r>
    </w:p>
    <w:p>
      <w:pPr>
        <w:spacing w:before="60" w:after="60" w:line="340" w:lineRule="exact"/>
        <w:ind w:firstLine="709"/>
        <w:jc w:val="both"/>
        <w:rPr>
          <w:sz w:val="28"/>
          <w:szCs w:val="28"/>
        </w:rPr>
      </w:pPr>
    </w:p>
    <w:p>
      <w:pPr>
        <w:spacing w:before="60" w:after="60" w:line="360" w:lineRule="exact"/>
        <w:ind w:firstLine="709"/>
        <w:jc w:val="both"/>
        <w:rPr>
          <w:sz w:val="28"/>
          <w:szCs w:val="28"/>
        </w:rPr>
      </w:pPr>
      <w:r>
        <w:rPr>
          <w:sz w:val="28"/>
          <w:szCs w:val="28"/>
        </w:rPr>
        <w:t>Thực hiện quy định tại khoản 3 Điều 8</w:t>
      </w:r>
      <w:r>
        <w:rPr>
          <w:rStyle w:val="FootnoteReference"/>
          <w:sz w:val="28"/>
          <w:szCs w:val="28"/>
        </w:rPr>
        <w:footnoteReference w:id="1"/>
      </w:r>
      <w:r>
        <w:rPr>
          <w:sz w:val="28"/>
          <w:szCs w:val="28"/>
        </w:rPr>
        <w:t xml:space="preserve"> Nghị định số 71/2024/NĐ-CP ngày 27/6/2024 của Chính phủ quy định về các yếu tố ảnh hưởng đến giá đất, mức độ chênh lệch tối đa của từng yếu tố ảnh hưởng đến giá đất để xác định mức tương đồng nhất định, cách thức điều chỉnh đối với từng mức độ chênh lệch của từng yếu tố ảnh hưởng đến giá đất; để bảo đảm thời gian, tiến độ tham mưu xây dựng, ban hành Quyết định của Ủy ban nhân dân tỉnh, Sở Tài nguyên và Môi trường kính trình Ủy ban nhân dân tỉnh dự thảo Quyết định. Cụ thể như sau:</w:t>
      </w:r>
    </w:p>
    <w:p>
      <w:pPr>
        <w:spacing w:before="60" w:after="60" w:line="360" w:lineRule="exact"/>
        <w:ind w:firstLine="709"/>
        <w:jc w:val="both"/>
        <w:rPr>
          <w:b/>
          <w:sz w:val="28"/>
          <w:szCs w:val="28"/>
        </w:rPr>
      </w:pPr>
      <w:r>
        <w:rPr>
          <w:b/>
          <w:sz w:val="28"/>
          <w:szCs w:val="28"/>
        </w:rPr>
        <w:t>I. SỰ CẦN THIẾT BAN HÀNH VĂN BẢN</w:t>
      </w:r>
    </w:p>
    <w:p>
      <w:pPr>
        <w:spacing w:before="60" w:after="60" w:line="360" w:lineRule="exact"/>
        <w:ind w:firstLine="709"/>
        <w:jc w:val="both"/>
        <w:rPr>
          <w:b/>
          <w:sz w:val="28"/>
          <w:szCs w:val="28"/>
        </w:rPr>
      </w:pPr>
      <w:r>
        <w:rPr>
          <w:b/>
          <w:sz w:val="28"/>
          <w:szCs w:val="28"/>
        </w:rPr>
        <w:t>1. Cơ sở</w:t>
      </w:r>
      <w:r>
        <w:rPr>
          <w:b/>
          <w:sz w:val="28"/>
          <w:szCs w:val="28"/>
          <w:lang w:val="en-US"/>
        </w:rPr>
        <w:t xml:space="preserve"> chính trị,</w:t>
      </w:r>
      <w:r>
        <w:rPr>
          <w:b/>
          <w:sz w:val="28"/>
          <w:szCs w:val="28"/>
        </w:rPr>
        <w:t xml:space="preserve"> pháp lý</w:t>
      </w:r>
    </w:p>
    <w:p>
      <w:pPr>
        <w:spacing w:before="60" w:after="60" w:line="360" w:lineRule="exact"/>
        <w:ind w:firstLine="568"/>
        <w:jc w:val="both"/>
        <w:rPr>
          <w:sz w:val="28"/>
          <w:szCs w:val="28"/>
        </w:rPr>
      </w:pPr>
      <w:r>
        <w:rPr>
          <w:sz w:val="28"/>
          <w:szCs w:val="28"/>
        </w:rPr>
        <w:t xml:space="preserve">Luật Đất đai </w:t>
      </w:r>
      <w:r>
        <w:rPr>
          <w:sz w:val="28"/>
          <w:szCs w:val="28"/>
          <w:lang w:val="en-US"/>
        </w:rPr>
        <w:t xml:space="preserve">năm </w:t>
      </w:r>
      <w:r>
        <w:rPr>
          <w:sz w:val="28"/>
          <w:szCs w:val="28"/>
        </w:rPr>
        <w:t>2024 được Quốc hội ban hành, có hiệu lực từ ngày 01/08/2024</w:t>
      </w:r>
      <w:r>
        <w:rPr>
          <w:sz w:val="28"/>
          <w:szCs w:val="28"/>
          <w:vertAlign w:val="superscript"/>
        </w:rPr>
        <w:footnoteReference w:id="2"/>
      </w:r>
      <w:r>
        <w:rPr>
          <w:sz w:val="28"/>
          <w:szCs w:val="28"/>
        </w:rPr>
        <w:t>, theo đó quy định:</w:t>
      </w:r>
    </w:p>
    <w:p>
      <w:pPr>
        <w:spacing w:before="60" w:after="60" w:line="360" w:lineRule="exact"/>
        <w:ind w:firstLine="709"/>
        <w:jc w:val="both"/>
        <w:rPr>
          <w:i/>
          <w:sz w:val="28"/>
          <w:szCs w:val="28"/>
        </w:rPr>
      </w:pPr>
      <w:r>
        <w:rPr>
          <w:i/>
          <w:sz w:val="28"/>
          <w:szCs w:val="28"/>
        </w:rPr>
        <w:t>“</w:t>
      </w:r>
      <w:bookmarkStart w:id="0" w:name="bookmark=id.gjdgxs" w:colFirst="0" w:colLast="0"/>
      <w:bookmarkEnd w:id="0"/>
      <w:r>
        <w:rPr>
          <w:b/>
          <w:i/>
          <w:sz w:val="28"/>
          <w:szCs w:val="28"/>
        </w:rPr>
        <w:t>Điều 158. Nguyên tắc, căn cứ, phương pháp định giá đất</w:t>
      </w:r>
    </w:p>
    <w:p>
      <w:pPr>
        <w:spacing w:before="60" w:after="60" w:line="360" w:lineRule="exact"/>
        <w:ind w:firstLine="709"/>
        <w:jc w:val="both"/>
        <w:rPr>
          <w:i/>
          <w:sz w:val="28"/>
          <w:szCs w:val="28"/>
        </w:rPr>
      </w:pPr>
      <w:r>
        <w:rPr>
          <w:i/>
          <w:sz w:val="28"/>
          <w:szCs w:val="28"/>
        </w:rPr>
        <w:t>5. Các phương pháp định giá đất bao gồm:</w:t>
      </w:r>
    </w:p>
    <w:p>
      <w:pPr>
        <w:spacing w:before="60" w:after="60" w:line="360" w:lineRule="exact"/>
        <w:ind w:firstLine="709"/>
        <w:jc w:val="both"/>
        <w:rPr>
          <w:i/>
          <w:sz w:val="28"/>
          <w:szCs w:val="28"/>
        </w:rPr>
      </w:pPr>
      <w:r>
        <w:rPr>
          <w:i/>
          <w:sz w:val="28"/>
          <w:szCs w:val="28"/>
        </w:rPr>
        <w:t>…</w:t>
      </w:r>
    </w:p>
    <w:p>
      <w:pPr>
        <w:spacing w:before="60" w:after="60" w:line="360" w:lineRule="exact"/>
        <w:ind w:firstLine="709"/>
        <w:jc w:val="both"/>
        <w:rPr>
          <w:i/>
          <w:sz w:val="28"/>
          <w:szCs w:val="28"/>
        </w:rPr>
      </w:pPr>
      <w:r>
        <w:rPr>
          <w:i/>
          <w:sz w:val="28"/>
          <w:szCs w:val="28"/>
        </w:rPr>
        <w:t xml:space="preserve">c) Phương pháp thặng dư được thực hiện bằng cách lấy tổng doanh thu phát triển ước tính trừ đi tổng chi phí phát triển ước tính của thửa đất, khu đất trên cơ sở sử dụng đất có hiệu quả cao nhất (hệ số sử dụng đất, mật độ xây dựng, </w:t>
      </w:r>
      <w:r>
        <w:rPr>
          <w:i/>
          <w:sz w:val="28"/>
          <w:szCs w:val="28"/>
        </w:rPr>
        <w:lastRenderedPageBreak/>
        <w:t>số tầng cao tối đa của công trình) theo quy hoạch sử dụng đất, quy hoạch chi tiết xây dựng đã được cơ quan có thẩm quyền phê duyệt;</w:t>
      </w:r>
    </w:p>
    <w:p>
      <w:pPr>
        <w:spacing w:before="60" w:after="60" w:line="360" w:lineRule="exact"/>
        <w:ind w:firstLine="709"/>
        <w:jc w:val="both"/>
        <w:rPr>
          <w:i/>
          <w:sz w:val="28"/>
          <w:szCs w:val="28"/>
        </w:rPr>
      </w:pPr>
      <w:r>
        <w:rPr>
          <w:i/>
          <w:sz w:val="28"/>
          <w:szCs w:val="28"/>
        </w:rPr>
        <w:t>6. Trường hợp và điều kiện áp dụng phương pháp định giá đất được quy định như sau:</w:t>
      </w:r>
    </w:p>
    <w:p>
      <w:pPr>
        <w:spacing w:before="60" w:after="60" w:line="360" w:lineRule="exact"/>
        <w:ind w:firstLine="709"/>
        <w:jc w:val="both"/>
        <w:rPr>
          <w:i/>
          <w:sz w:val="28"/>
          <w:szCs w:val="28"/>
        </w:rPr>
      </w:pPr>
      <w:r>
        <w:rPr>
          <w:i/>
          <w:sz w:val="28"/>
          <w:szCs w:val="28"/>
        </w:rPr>
        <w:t>…</w:t>
      </w:r>
    </w:p>
    <w:p>
      <w:pPr>
        <w:spacing w:before="60" w:after="60" w:line="360" w:lineRule="exact"/>
        <w:ind w:firstLine="709"/>
        <w:jc w:val="both"/>
        <w:rPr>
          <w:sz w:val="28"/>
          <w:szCs w:val="28"/>
        </w:rPr>
      </w:pPr>
      <w:r>
        <w:rPr>
          <w:i/>
          <w:sz w:val="28"/>
          <w:szCs w:val="28"/>
        </w:rPr>
        <w:t>c) Phương pháp thặng dư được áp dụng để định giá đối với trường hợp thửa đất, khu đất để thực hiện dự án đầu tư không đủ điều kiện áp dụng phương pháp so sánh, phương pháp thu nhập nhưng ước tính được tổng doanh thu phát triển và tổng chi phí phát triển của dự án;”</w:t>
      </w:r>
      <w:r>
        <w:rPr>
          <w:sz w:val="28"/>
          <w:szCs w:val="28"/>
        </w:rPr>
        <w:t>.</w:t>
      </w:r>
    </w:p>
    <w:p>
      <w:pPr>
        <w:spacing w:before="60" w:after="60" w:line="360" w:lineRule="exact"/>
        <w:ind w:firstLine="709"/>
        <w:jc w:val="both"/>
        <w:rPr>
          <w:sz w:val="28"/>
          <w:szCs w:val="28"/>
        </w:rPr>
      </w:pPr>
      <w:r>
        <w:rPr>
          <w:sz w:val="28"/>
          <w:szCs w:val="28"/>
        </w:rPr>
        <w:t xml:space="preserve">Đồng thời, tại điểm </w:t>
      </w:r>
      <w:r>
        <w:rPr>
          <w:sz w:val="28"/>
          <w:szCs w:val="28"/>
          <w:lang w:val="en-US"/>
        </w:rPr>
        <w:t>khoản 3 Điều 8</w:t>
      </w:r>
      <w:r>
        <w:rPr>
          <w:sz w:val="28"/>
          <w:szCs w:val="28"/>
        </w:rPr>
        <w:t xml:space="preserve"> Nghị định số 71/2024/NĐ-CP ngày 27/6/2024 của Chính phủ Quy định về giá đất (có hiệu lực ngày 01/8/2024) quy định:</w:t>
      </w:r>
    </w:p>
    <w:p>
      <w:pPr>
        <w:pStyle w:val="FootnoteText"/>
        <w:spacing w:before="60" w:after="60" w:line="360" w:lineRule="exact"/>
        <w:ind w:firstLine="709"/>
        <w:jc w:val="both"/>
        <w:rPr>
          <w:i/>
          <w:sz w:val="28"/>
          <w:szCs w:val="28"/>
        </w:rPr>
      </w:pPr>
      <w:r>
        <w:rPr>
          <w:i/>
          <w:sz w:val="28"/>
          <w:szCs w:val="28"/>
        </w:rPr>
        <w:t>“</w:t>
      </w:r>
      <w:bookmarkStart w:id="1" w:name="bookmark=id.30j0zll" w:colFirst="0" w:colLast="0"/>
      <w:bookmarkEnd w:id="1"/>
      <w:r>
        <w:rPr>
          <w:b/>
          <w:i/>
          <w:sz w:val="28"/>
          <w:szCs w:val="28"/>
        </w:rPr>
        <w:t xml:space="preserve">Điều </w:t>
      </w:r>
      <w:r>
        <w:rPr>
          <w:b/>
          <w:i/>
          <w:sz w:val="28"/>
          <w:szCs w:val="28"/>
          <w:lang w:val="en-US"/>
        </w:rPr>
        <w:t>8</w:t>
      </w:r>
      <w:r>
        <w:rPr>
          <w:b/>
          <w:i/>
          <w:sz w:val="28"/>
          <w:szCs w:val="28"/>
        </w:rPr>
        <w:t>. Các yếu tố ảnh hưởng đến giá đất</w:t>
      </w:r>
    </w:p>
    <w:p>
      <w:pPr>
        <w:spacing w:before="60" w:after="60" w:line="360" w:lineRule="exact"/>
        <w:ind w:firstLine="709"/>
        <w:jc w:val="both"/>
        <w:rPr>
          <w:i/>
          <w:sz w:val="28"/>
          <w:szCs w:val="28"/>
        </w:rPr>
      </w:pPr>
      <w:r>
        <w:rPr>
          <w:i/>
          <w:sz w:val="28"/>
          <w:szCs w:val="28"/>
        </w:rPr>
        <w:t>…</w:t>
      </w:r>
    </w:p>
    <w:p>
      <w:pPr>
        <w:spacing w:before="60" w:after="60" w:line="360" w:lineRule="exact"/>
        <w:ind w:firstLine="709"/>
        <w:jc w:val="both"/>
        <w:rPr>
          <w:i/>
          <w:sz w:val="28"/>
          <w:szCs w:val="28"/>
        </w:rPr>
      </w:pPr>
      <w:r>
        <w:rPr>
          <w:i/>
          <w:sz w:val="28"/>
          <w:szCs w:val="28"/>
        </w:rPr>
        <w:t>3. Sở Tài nguyên và Môi trường chủ trì, phối hợp với các Sở, ngành có liên quan tham mưu, trình Ủy ban nhân dân cấp tỉnh quy định cụ thể các yếu tố ảnh hưởng đến giá đất, mức độ chênh lệch tối đa của từng yếu tố ảnh hưởng đến giá đất để xác định mức tương đồng nhất định, cách thức điều chỉnh đối với từng mức độ chênh lệch của từng yếu tố ảnh hưởng đến giá đất</w:t>
      </w:r>
      <w:r>
        <w:rPr>
          <w:i/>
          <w:sz w:val="28"/>
          <w:szCs w:val="28"/>
          <w:lang w:val="en-US"/>
        </w:rPr>
        <w:t>”.</w:t>
      </w:r>
    </w:p>
    <w:p>
      <w:pPr>
        <w:spacing w:before="60" w:after="60" w:line="360" w:lineRule="exact"/>
        <w:ind w:firstLine="709"/>
        <w:jc w:val="both"/>
        <w:rPr>
          <w:sz w:val="28"/>
          <w:szCs w:val="28"/>
        </w:rPr>
      </w:pPr>
      <w:r>
        <w:rPr>
          <w:sz w:val="28"/>
          <w:szCs w:val="28"/>
        </w:rPr>
        <w:t>Theo khoản 1 Điều 28 Luật Ban hành văn bản quy phạm pháp luật quy</w:t>
      </w:r>
      <w:r>
        <w:rPr>
          <w:sz w:val="28"/>
          <w:szCs w:val="28"/>
        </w:rPr>
        <w:br/>
        <w:t>định:</w:t>
      </w:r>
    </w:p>
    <w:p>
      <w:pPr>
        <w:spacing w:before="60" w:after="60" w:line="360" w:lineRule="exact"/>
        <w:ind w:firstLine="709"/>
        <w:jc w:val="both"/>
        <w:rPr>
          <w:b/>
          <w:i/>
          <w:sz w:val="28"/>
          <w:szCs w:val="28"/>
        </w:rPr>
      </w:pPr>
      <w:r>
        <w:rPr>
          <w:i/>
          <w:sz w:val="28"/>
          <w:szCs w:val="28"/>
        </w:rPr>
        <w:t>“</w:t>
      </w:r>
      <w:r>
        <w:rPr>
          <w:b/>
          <w:i/>
          <w:sz w:val="28"/>
          <w:szCs w:val="28"/>
        </w:rPr>
        <w:t>Điều 28. Quyết định của Ủy ban nhân dân</w:t>
      </w:r>
      <w:r>
        <w:rPr>
          <w:b/>
          <w:i/>
          <w:sz w:val="28"/>
          <w:szCs w:val="28"/>
          <w:lang w:val="en-US"/>
        </w:rPr>
        <w:t xml:space="preserve"> </w:t>
      </w:r>
      <w:r>
        <w:rPr>
          <w:b/>
          <w:i/>
          <w:sz w:val="28"/>
          <w:szCs w:val="28"/>
        </w:rPr>
        <w:t>cấp tỉnh</w:t>
      </w:r>
    </w:p>
    <w:p>
      <w:pPr>
        <w:spacing w:before="60" w:after="60" w:line="360" w:lineRule="exact"/>
        <w:ind w:firstLine="709"/>
        <w:jc w:val="both"/>
        <w:rPr>
          <w:i/>
          <w:sz w:val="28"/>
          <w:szCs w:val="28"/>
        </w:rPr>
      </w:pPr>
      <w:r>
        <w:rPr>
          <w:i/>
          <w:sz w:val="28"/>
          <w:szCs w:val="28"/>
        </w:rPr>
        <w:t>Ủy ban nhân dân cấp tỉnh ban hành quyết định để quy định:</w:t>
      </w:r>
    </w:p>
    <w:p>
      <w:pPr>
        <w:spacing w:before="60" w:after="60" w:line="360" w:lineRule="exact"/>
        <w:ind w:firstLine="709"/>
        <w:jc w:val="both"/>
        <w:rPr>
          <w:sz w:val="28"/>
          <w:szCs w:val="28"/>
        </w:rPr>
      </w:pPr>
      <w:r>
        <w:rPr>
          <w:i/>
          <w:sz w:val="28"/>
          <w:szCs w:val="28"/>
        </w:rPr>
        <w:t xml:space="preserve">1. </w:t>
      </w:r>
      <w:r>
        <w:rPr>
          <w:b/>
          <w:i/>
          <w:sz w:val="28"/>
          <w:szCs w:val="28"/>
        </w:rPr>
        <w:t xml:space="preserve">Chi tiết điều, khoản, điểm được giao </w:t>
      </w:r>
      <w:r>
        <w:rPr>
          <w:i/>
          <w:sz w:val="28"/>
          <w:szCs w:val="28"/>
        </w:rPr>
        <w:t>trong văn bản quy phạm pháp luật</w:t>
      </w:r>
      <w:r>
        <w:rPr>
          <w:i/>
          <w:sz w:val="28"/>
          <w:szCs w:val="28"/>
        </w:rPr>
        <w:br/>
        <w:t>của cơ quan nhà nước cấp trên.”</w:t>
      </w:r>
    </w:p>
    <w:p>
      <w:pPr>
        <w:spacing w:before="60" w:after="60" w:line="360" w:lineRule="exact"/>
        <w:ind w:firstLine="709"/>
        <w:jc w:val="both"/>
        <w:rPr>
          <w:b/>
          <w:sz w:val="28"/>
          <w:szCs w:val="28"/>
        </w:rPr>
      </w:pPr>
      <w:r>
        <w:rPr>
          <w:b/>
          <w:sz w:val="28"/>
          <w:szCs w:val="28"/>
        </w:rPr>
        <w:t>2. Cơ sở thực tiễn</w:t>
      </w:r>
    </w:p>
    <w:p>
      <w:pPr>
        <w:spacing w:before="60" w:after="60" w:line="360" w:lineRule="exact"/>
        <w:ind w:firstLine="709"/>
        <w:jc w:val="both"/>
        <w:rPr>
          <w:sz w:val="28"/>
          <w:szCs w:val="28"/>
          <w:lang w:val="en-US"/>
        </w:rPr>
      </w:pPr>
      <w:r>
        <w:rPr>
          <w:sz w:val="28"/>
          <w:szCs w:val="28"/>
          <w:lang w:val="en-US"/>
        </w:rPr>
        <w:t>Đ</w:t>
      </w:r>
      <w:r>
        <w:rPr>
          <w:sz w:val="28"/>
          <w:szCs w:val="28"/>
        </w:rPr>
        <w:t>ất đai là một loại hàng hóa đặc biệt, không giống các hàng hóa khác ở chỗ đất đai là có hạn, giá trị của đất đai không giống nhau do giá trị đất đai bị ảnh hưởng bởi nhiều yếu tố khác nhau</w:t>
      </w:r>
      <w:r>
        <w:rPr>
          <w:sz w:val="28"/>
          <w:szCs w:val="28"/>
          <w:lang w:val="en-US"/>
        </w:rPr>
        <w:t>. V</w:t>
      </w:r>
      <w:r>
        <w:rPr>
          <w:sz w:val="28"/>
          <w:szCs w:val="28"/>
        </w:rPr>
        <w:t xml:space="preserve">ấn đề đặt ra là làm sao để có thể xác định được chính xác giá đất theo đúng với giá trị của nó. </w:t>
      </w:r>
    </w:p>
    <w:p>
      <w:pPr>
        <w:spacing w:before="60" w:after="60" w:line="360" w:lineRule="exact"/>
        <w:ind w:firstLine="709"/>
        <w:jc w:val="both"/>
        <w:rPr>
          <w:sz w:val="28"/>
          <w:szCs w:val="28"/>
          <w:lang w:val="en-US"/>
        </w:rPr>
      </w:pPr>
      <w:r>
        <w:rPr>
          <w:sz w:val="28"/>
          <w:szCs w:val="28"/>
          <w:lang w:val="en-US"/>
        </w:rPr>
        <w:t xml:space="preserve">Nhận định được tầm quan trọng của vấn đề này, Chính phủ đã quy định chi tiết các yếu tố ảnh hưởng đến giá đất trong quá trình xác định giá đất. Tuy nhiên mức độ chênh lệch tối đa của từng yếu tố ảnh hưởng đến giá đất để xác định mức tương đồng cũng như cách thức điều chỉnh đối với từng mức độ chênh lệch của từng yếu tố thì lại chưa quy định cụ thể. </w:t>
      </w:r>
    </w:p>
    <w:p>
      <w:pPr>
        <w:spacing w:before="60" w:after="60" w:line="360" w:lineRule="exact"/>
        <w:ind w:firstLine="709"/>
        <w:jc w:val="both"/>
        <w:rPr>
          <w:sz w:val="28"/>
          <w:szCs w:val="28"/>
          <w:highlight w:val="white"/>
        </w:rPr>
      </w:pPr>
      <w:r>
        <w:rPr>
          <w:sz w:val="28"/>
          <w:szCs w:val="28"/>
          <w:lang w:val="en-US"/>
        </w:rPr>
        <w:t>V</w:t>
      </w:r>
      <w:r>
        <w:rPr>
          <w:sz w:val="28"/>
          <w:szCs w:val="28"/>
        </w:rPr>
        <w:t xml:space="preserve">iệc xác định giá các thửa đất, khu đất theo </w:t>
      </w:r>
      <w:r>
        <w:rPr>
          <w:sz w:val="28"/>
          <w:szCs w:val="28"/>
          <w:lang w:val="en-US"/>
        </w:rPr>
        <w:t xml:space="preserve">một số phương pháp định giá theo quy định hiện nay (phương pháp so sánh, thu nhập, thặng dư) </w:t>
      </w:r>
      <w:r>
        <w:rPr>
          <w:sz w:val="28"/>
          <w:szCs w:val="28"/>
        </w:rPr>
        <w:t xml:space="preserve">hiện nay rất </w:t>
      </w:r>
      <w:r>
        <w:rPr>
          <w:sz w:val="28"/>
          <w:szCs w:val="28"/>
        </w:rPr>
        <w:lastRenderedPageBreak/>
        <w:t>phức tạp</w:t>
      </w:r>
      <w:r>
        <w:rPr>
          <w:sz w:val="28"/>
          <w:szCs w:val="28"/>
          <w:lang w:val="en-US"/>
        </w:rPr>
        <w:t>. T</w:t>
      </w:r>
      <w:r>
        <w:rPr>
          <w:sz w:val="28"/>
          <w:szCs w:val="28"/>
        </w:rPr>
        <w:t>heo quy định tại Nghị định số 71/2024/NĐ-CP của Chính phủ thì</w:t>
      </w:r>
      <w:r>
        <w:rPr>
          <w:sz w:val="28"/>
          <w:szCs w:val="28"/>
          <w:lang w:val="en-US"/>
        </w:rPr>
        <w:t xml:space="preserve"> trường hợp chưa quy định hoặc quy định</w:t>
      </w:r>
      <w:r>
        <w:rPr>
          <w:sz w:val="28"/>
          <w:szCs w:val="28"/>
        </w:rPr>
        <w:t xml:space="preserve"> </w:t>
      </w:r>
      <w:r>
        <w:rPr>
          <w:sz w:val="28"/>
          <w:szCs w:val="28"/>
          <w:lang w:val="en-US"/>
        </w:rPr>
        <w:t>thiếu các yếu tố ảnh hưởng đến giá đất, mức độ chênh lệch tối đa của từng yếu tố, cách thức điều chỉnh đối với từng mức độ chênh lệch của từng yếu tố thì do tổ chức thực hiện định giá đất</w:t>
      </w:r>
      <w:r>
        <w:rPr>
          <w:sz w:val="28"/>
          <w:szCs w:val="28"/>
        </w:rPr>
        <w:t xml:space="preserve"> đề xuất</w:t>
      </w:r>
      <w:r>
        <w:rPr>
          <w:sz w:val="28"/>
          <w:szCs w:val="28"/>
          <w:vertAlign w:val="superscript"/>
        </w:rPr>
        <w:footnoteReference w:id="3"/>
      </w:r>
      <w:r>
        <w:rPr>
          <w:sz w:val="28"/>
          <w:szCs w:val="28"/>
        </w:rPr>
        <w:t xml:space="preserve">, tuy nhiên, do quy định chưa rõ ràng, thiếu cơ sở, độ tin cậy không cao nên có nhiều trường hợp đơn vị tư vấn từ chối thực hiện, dẫn đến các dự án cần định giá đất bị kéo dài, tồn đọng, bởi không xác định được giá trị của </w:t>
      </w:r>
      <w:r>
        <w:rPr>
          <w:sz w:val="28"/>
          <w:szCs w:val="28"/>
          <w:highlight w:val="white"/>
        </w:rPr>
        <w:t>thửa đất, khu đất để tiến hành đấu giá hoặc tính tiền giao đất, cho thuê đất, chuyển mục đích sử dụng đất</w:t>
      </w:r>
      <w:r>
        <w:rPr>
          <w:sz w:val="28"/>
          <w:szCs w:val="28"/>
          <w:highlight w:val="white"/>
          <w:lang w:val="en-US"/>
        </w:rPr>
        <w:t>, gia hạn sử dụng đất, tính tiền bồi thường khi nhà nước thu hồi đất</w:t>
      </w:r>
      <w:r>
        <w:rPr>
          <w:sz w:val="28"/>
          <w:szCs w:val="28"/>
          <w:highlight w:val="white"/>
        </w:rPr>
        <w:t>.</w:t>
      </w:r>
    </w:p>
    <w:p>
      <w:pPr>
        <w:spacing w:before="60" w:after="60" w:line="360" w:lineRule="exact"/>
        <w:ind w:firstLine="709"/>
        <w:jc w:val="both"/>
        <w:rPr>
          <w:sz w:val="28"/>
          <w:szCs w:val="28"/>
        </w:rPr>
      </w:pPr>
      <w:r>
        <w:rPr>
          <w:sz w:val="28"/>
          <w:szCs w:val="28"/>
        </w:rPr>
        <w:t>Do vậy, nếu được quy định cụ thể, thay vì để đơn vị tư vấn đề xuất, sẽ bảo đảm tính chặt chẽ, thống nhất, hạn chế được các tùy tiện, sai sót trong quá trình định giá đất cụ thể.</w:t>
      </w:r>
    </w:p>
    <w:p>
      <w:pPr>
        <w:spacing w:before="60" w:after="60" w:line="360" w:lineRule="exact"/>
        <w:ind w:firstLine="709"/>
        <w:jc w:val="both"/>
        <w:rPr>
          <w:sz w:val="28"/>
          <w:szCs w:val="28"/>
          <w:lang w:val="en-US"/>
        </w:rPr>
      </w:pPr>
      <w:r>
        <w:rPr>
          <w:sz w:val="28"/>
          <w:szCs w:val="28"/>
        </w:rPr>
        <w:t xml:space="preserve">Qua rà soát, hiện nay trên địa bàn tỉnh Bà Rịa – Vũng Tàu còn </w:t>
      </w:r>
      <w:r>
        <w:rPr>
          <w:sz w:val="28"/>
          <w:szCs w:val="28"/>
          <w:lang w:val="en-US"/>
        </w:rPr>
        <w:t>52</w:t>
      </w:r>
      <w:r>
        <w:rPr>
          <w:sz w:val="28"/>
          <w:szCs w:val="28"/>
        </w:rPr>
        <w:t xml:space="preserve"> dự án cần phải định giá đất cụ thể để tính tiền giao đất, thuê đất, chuyển mục đích sử dụng đất. Ngoài ra, theo kế hoạch, năm 2025 Sở Tài nguyên và Môi trường sẽ tham mưu Ủy ban nhân dân tỉnh tổ chức đấu giá một số khu đất để tăng thêm nguồn thu của tỉnh</w:t>
      </w:r>
      <w:r>
        <w:rPr>
          <w:sz w:val="28"/>
          <w:szCs w:val="28"/>
          <w:lang w:val="en-US"/>
        </w:rPr>
        <w:t>.</w:t>
      </w:r>
    </w:p>
    <w:p>
      <w:pPr>
        <w:widowControl w:val="0"/>
        <w:spacing w:before="60" w:after="60" w:line="360" w:lineRule="exact"/>
        <w:ind w:firstLine="709"/>
        <w:jc w:val="both"/>
        <w:rPr>
          <w:sz w:val="28"/>
          <w:szCs w:val="28"/>
        </w:rPr>
      </w:pPr>
      <w:r>
        <w:rPr>
          <w:sz w:val="28"/>
          <w:szCs w:val="28"/>
        </w:rPr>
        <w:t xml:space="preserve">Từ cơ sở pháp lý, cơ sở thực tiễn nêu trên, Sở Tài nguyên và Môi trường kính trình Ủy ban nhân dân tỉnh xem xét ban hành Quyết định </w:t>
      </w:r>
      <w:r>
        <w:rPr>
          <w:sz w:val="28"/>
          <w:szCs w:val="28"/>
          <w:lang w:val="en-US"/>
        </w:rPr>
        <w:t>q</w:t>
      </w:r>
      <w:r>
        <w:rPr>
          <w:sz w:val="28"/>
          <w:szCs w:val="28"/>
        </w:rPr>
        <w:t>uy định các yếu tố ảnh hưởng đến giá đất, mức độ chênh lệch tối đa của từng yếu tố ảnh hưởng đến giá đất để xác định mức tương đồng nhất định, cách thức điều chỉnh đối với từng mức độ chênh lệch của từng yếu tố ảnh hưởng đến giá đất</w:t>
      </w:r>
      <w:r>
        <w:rPr>
          <w:sz w:val="28"/>
          <w:szCs w:val="28"/>
          <w:lang w:val="en-US"/>
        </w:rPr>
        <w:t xml:space="preserve"> </w:t>
      </w:r>
      <w:r>
        <w:rPr>
          <w:sz w:val="28"/>
          <w:szCs w:val="28"/>
        </w:rPr>
        <w:t>trên địa bàn tỉnh Bà Rịa – Vũng Tàu.</w:t>
      </w:r>
    </w:p>
    <w:p>
      <w:pPr>
        <w:widowControl w:val="0"/>
        <w:spacing w:before="60" w:after="60" w:line="360" w:lineRule="exact"/>
        <w:ind w:firstLine="709"/>
        <w:jc w:val="both"/>
        <w:rPr>
          <w:b/>
          <w:sz w:val="28"/>
          <w:szCs w:val="28"/>
        </w:rPr>
      </w:pPr>
      <w:r>
        <w:rPr>
          <w:b/>
          <w:sz w:val="28"/>
          <w:szCs w:val="28"/>
        </w:rPr>
        <w:t>II. MỤC ĐÍCH, QUAN ĐIỂM XÂY DỰNG DỰ THẢO VĂN BẢN</w:t>
      </w:r>
    </w:p>
    <w:p>
      <w:pPr>
        <w:widowControl w:val="0"/>
        <w:spacing w:before="60" w:after="60" w:line="360" w:lineRule="exact"/>
        <w:ind w:firstLine="709"/>
        <w:jc w:val="both"/>
        <w:rPr>
          <w:sz w:val="28"/>
          <w:szCs w:val="28"/>
        </w:rPr>
      </w:pPr>
      <w:r>
        <w:rPr>
          <w:b/>
          <w:sz w:val="28"/>
          <w:szCs w:val="28"/>
        </w:rPr>
        <w:t>1. Mục đích</w:t>
      </w:r>
    </w:p>
    <w:p>
      <w:pPr>
        <w:spacing w:before="60" w:after="60" w:line="360" w:lineRule="exact"/>
        <w:ind w:firstLine="709"/>
        <w:jc w:val="both"/>
        <w:rPr>
          <w:sz w:val="28"/>
          <w:szCs w:val="28"/>
        </w:rPr>
      </w:pPr>
      <w:r>
        <w:rPr>
          <w:sz w:val="28"/>
          <w:szCs w:val="28"/>
        </w:rPr>
        <w:t>Việc xây dựng văn bản nhằm mục đích quy định một số yếu tố ảnh hưởng đến giá đất, mức độ chênh lệch tối đa của từng yếu tố ảnh hưởng đến giá đất để xác định mức tương đồng nhất định, cách thức điều chỉnh đối với từng mức độ chênh lệch của từng yếu tố ảnh hưởng đến giá đất</w:t>
      </w:r>
      <w:r>
        <w:rPr>
          <w:sz w:val="28"/>
          <w:szCs w:val="28"/>
          <w:lang w:val="en-US"/>
        </w:rPr>
        <w:t>,</w:t>
      </w:r>
      <w:r>
        <w:rPr>
          <w:sz w:val="28"/>
          <w:szCs w:val="28"/>
        </w:rPr>
        <w:t xml:space="preserve"> qua đó cụ thể hóa </w:t>
      </w:r>
      <w:r>
        <w:rPr>
          <w:sz w:val="28"/>
          <w:szCs w:val="28"/>
          <w:lang w:val="en-US"/>
        </w:rPr>
        <w:t>K</w:t>
      </w:r>
      <w:r>
        <w:rPr>
          <w:sz w:val="28"/>
          <w:szCs w:val="28"/>
        </w:rPr>
        <w:t>hoản 3 Điều 8 Nghị định số 71/2024/NĐ-CP ngày 27/6/2024 của Chính phủ Quy định về giá đất để triển khai trên địa bàn tỉnh Bà Rịa - Vũng Tàu.</w:t>
      </w:r>
    </w:p>
    <w:p>
      <w:pPr>
        <w:pStyle w:val="Heading2"/>
        <w:spacing w:before="60" w:after="60" w:line="360" w:lineRule="exact"/>
        <w:ind w:firstLine="709"/>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lastRenderedPageBreak/>
        <w:t>2. Quan điểm xây dựng văn bản</w:t>
      </w:r>
    </w:p>
    <w:p>
      <w:pPr>
        <w:spacing w:before="60" w:after="60" w:line="360" w:lineRule="exact"/>
        <w:ind w:firstLine="709"/>
        <w:jc w:val="both"/>
        <w:rPr>
          <w:sz w:val="28"/>
          <w:szCs w:val="28"/>
        </w:rPr>
      </w:pPr>
      <w:r>
        <w:rPr>
          <w:sz w:val="28"/>
          <w:szCs w:val="28"/>
        </w:rPr>
        <w:t>Bám sát quy định pháp luật của cơ quan cấp trên, bảo đảm: tính hợp hiến, hợp pháp, tính đồng bộ, thống nhất của hệ thống văn bản pháp luật; tính cụ thể, chi tiết của các quy định pháp luật trong văn bản quy phạm pháp luật; tính khả thi, hiệu lực, hiệu quả khi áp dụng các văn bản trong thực tiễn, nhằm tăng cường vai trò quản lý của Nhà nước trong công tác quản lý đất đai, giá đất tại địa phương.</w:t>
      </w:r>
    </w:p>
    <w:p>
      <w:pPr>
        <w:spacing w:before="60" w:after="60" w:line="360" w:lineRule="exact"/>
        <w:ind w:firstLine="709"/>
        <w:jc w:val="both"/>
        <w:rPr>
          <w:b/>
          <w:sz w:val="28"/>
          <w:szCs w:val="28"/>
        </w:rPr>
      </w:pPr>
      <w:r>
        <w:rPr>
          <w:b/>
          <w:sz w:val="28"/>
          <w:szCs w:val="28"/>
        </w:rPr>
        <w:t xml:space="preserve">III. PHẠM VI ĐIỀU CHỈNH, ĐỐI TƯỢNG ÁP DỤNG </w:t>
      </w:r>
    </w:p>
    <w:p>
      <w:pPr>
        <w:spacing w:before="60" w:after="60" w:line="360" w:lineRule="exact"/>
        <w:ind w:firstLine="709"/>
        <w:jc w:val="both"/>
        <w:rPr>
          <w:b/>
          <w:sz w:val="28"/>
          <w:szCs w:val="28"/>
        </w:rPr>
      </w:pPr>
      <w:r>
        <w:rPr>
          <w:b/>
          <w:sz w:val="28"/>
          <w:szCs w:val="28"/>
        </w:rPr>
        <w:t>1. Phạm vi điều chỉnh</w:t>
      </w:r>
    </w:p>
    <w:p>
      <w:pPr>
        <w:spacing w:before="60" w:after="60" w:line="360" w:lineRule="exact"/>
        <w:ind w:firstLine="709"/>
        <w:jc w:val="both"/>
        <w:rPr>
          <w:sz w:val="28"/>
          <w:szCs w:val="28"/>
        </w:rPr>
      </w:pPr>
      <w:r>
        <w:rPr>
          <w:sz w:val="28"/>
          <w:szCs w:val="28"/>
        </w:rPr>
        <w:t xml:space="preserve">Quyết định này </w:t>
      </w:r>
      <w:r>
        <w:rPr>
          <w:sz w:val="28"/>
          <w:szCs w:val="28"/>
          <w:lang w:val="en-US"/>
        </w:rPr>
        <w:t>q</w:t>
      </w:r>
      <w:r>
        <w:rPr>
          <w:sz w:val="28"/>
          <w:szCs w:val="28"/>
        </w:rPr>
        <w:t>uy định các yếu tố ảnh hưởng đến giá đất, mức độ chênh lệch tối đa của từng yếu tố ảnh hưởng đến giá đất để xác định mức tương đồng nhất định, cách thức điều chỉnh đối với từng mức độ chênh lệch của từng yếu tố ảnh hưởng đến giá đất</w:t>
      </w:r>
      <w:r>
        <w:rPr>
          <w:sz w:val="28"/>
          <w:szCs w:val="28"/>
          <w:lang w:val="en-US"/>
        </w:rPr>
        <w:t xml:space="preserve"> </w:t>
      </w:r>
      <w:r>
        <w:rPr>
          <w:sz w:val="28"/>
          <w:szCs w:val="28"/>
        </w:rPr>
        <w:t>trên địa bàn tỉnh Bà Rịa – Vũng Tàu.</w:t>
      </w:r>
    </w:p>
    <w:p>
      <w:pPr>
        <w:spacing w:before="60" w:after="60" w:line="360" w:lineRule="exact"/>
        <w:ind w:firstLine="709"/>
        <w:jc w:val="both"/>
        <w:rPr>
          <w:b/>
          <w:sz w:val="28"/>
          <w:szCs w:val="28"/>
        </w:rPr>
      </w:pPr>
      <w:r>
        <w:rPr>
          <w:b/>
          <w:sz w:val="28"/>
          <w:szCs w:val="28"/>
        </w:rPr>
        <w:t>2. Đối tượng áp dụng</w:t>
      </w:r>
    </w:p>
    <w:p>
      <w:pPr>
        <w:shd w:val="solid" w:color="FFFFFF" w:fill="auto"/>
        <w:spacing w:before="60" w:after="60" w:line="360" w:lineRule="exact"/>
        <w:ind w:firstLine="709"/>
        <w:jc w:val="both"/>
        <w:rPr>
          <w:sz w:val="28"/>
          <w:szCs w:val="28"/>
          <w:lang w:val="pt-BR"/>
        </w:rPr>
      </w:pPr>
      <w:r>
        <w:rPr>
          <w:sz w:val="28"/>
          <w:szCs w:val="28"/>
        </w:rPr>
        <w:t xml:space="preserve">- </w:t>
      </w:r>
      <w:r>
        <w:rPr>
          <w:sz w:val="28"/>
          <w:szCs w:val="28"/>
          <w:lang w:val="pt-BR"/>
        </w:rPr>
        <w:t xml:space="preserve"> Cơ quan thực hiện chức năng quản lý Nhà nước về đất đai; cơ quan, người có thẩm quyền xác định, thẩm định, quyết định giá đất cụ thể trên địa bàn tỉnh Bà Rịa-Vũng Tàu.</w:t>
      </w:r>
    </w:p>
    <w:p>
      <w:pPr>
        <w:shd w:val="solid" w:color="FFFFFF" w:fill="auto"/>
        <w:spacing w:before="60" w:after="60" w:line="360" w:lineRule="exact"/>
        <w:ind w:firstLine="709"/>
        <w:jc w:val="both"/>
        <w:rPr>
          <w:sz w:val="28"/>
          <w:szCs w:val="28"/>
          <w:lang w:val="pt-BR"/>
        </w:rPr>
      </w:pPr>
      <w:r>
        <w:rPr>
          <w:sz w:val="28"/>
          <w:szCs w:val="28"/>
          <w:lang w:val="pt-BR"/>
        </w:rPr>
        <w:t>- Tổ chức tư vấn xác định giá đất, cá nhân hành nghề tư vấn xác định giá đất.</w:t>
      </w:r>
    </w:p>
    <w:p>
      <w:pPr>
        <w:shd w:val="solid" w:color="FFFFFF" w:fill="auto"/>
        <w:spacing w:before="60" w:after="60" w:line="360" w:lineRule="exact"/>
        <w:ind w:firstLine="709"/>
        <w:jc w:val="both"/>
        <w:rPr>
          <w:sz w:val="28"/>
          <w:szCs w:val="28"/>
        </w:rPr>
      </w:pPr>
      <w:r>
        <w:rPr>
          <w:sz w:val="28"/>
          <w:szCs w:val="28"/>
          <w:lang w:val="pt-BR"/>
        </w:rPr>
        <w:t>- Tổ chức, cá nhân khác có liên quan</w:t>
      </w:r>
      <w:r>
        <w:rPr>
          <w:sz w:val="28"/>
          <w:szCs w:val="28"/>
        </w:rPr>
        <w:t>.</w:t>
      </w:r>
    </w:p>
    <w:p>
      <w:pPr>
        <w:spacing w:before="60" w:after="60" w:line="360" w:lineRule="exact"/>
        <w:ind w:firstLine="709"/>
        <w:jc w:val="both"/>
        <w:rPr>
          <w:b/>
          <w:sz w:val="28"/>
          <w:szCs w:val="28"/>
        </w:rPr>
      </w:pPr>
      <w:r>
        <w:rPr>
          <w:b/>
          <w:sz w:val="28"/>
          <w:szCs w:val="28"/>
        </w:rPr>
        <w:t>IV. BỐ CỤC VÀ NỘI DUNG CƠ BẢN CỦA DỰ THẢO VĂN BẢN</w:t>
      </w:r>
    </w:p>
    <w:p>
      <w:pPr>
        <w:spacing w:before="60" w:after="60" w:line="360" w:lineRule="exact"/>
        <w:ind w:firstLine="709"/>
        <w:jc w:val="both"/>
        <w:rPr>
          <w:b/>
          <w:sz w:val="28"/>
          <w:szCs w:val="28"/>
        </w:rPr>
      </w:pPr>
      <w:r>
        <w:rPr>
          <w:b/>
          <w:sz w:val="28"/>
          <w:szCs w:val="28"/>
        </w:rPr>
        <w:t xml:space="preserve">1. Bố cục: </w:t>
      </w:r>
      <w:r>
        <w:rPr>
          <w:b/>
          <w:sz w:val="28"/>
          <w:szCs w:val="28"/>
          <w:lang w:val="en-US"/>
        </w:rPr>
        <w:t xml:space="preserve"> </w:t>
      </w:r>
      <w:r>
        <w:rPr>
          <w:sz w:val="28"/>
          <w:szCs w:val="28"/>
        </w:rPr>
        <w:t xml:space="preserve">Dự thảo Quyết định </w:t>
      </w:r>
      <w:r>
        <w:rPr>
          <w:sz w:val="28"/>
          <w:szCs w:val="28"/>
          <w:lang w:val="en-US"/>
        </w:rPr>
        <w:t xml:space="preserve">(quy định trực tiếp) gồm có </w:t>
      </w:r>
      <w:r>
        <w:rPr>
          <w:b/>
          <w:sz w:val="28"/>
          <w:szCs w:val="28"/>
          <w:lang w:val="en-US"/>
        </w:rPr>
        <w:t xml:space="preserve">03 </w:t>
      </w:r>
      <w:r>
        <w:rPr>
          <w:sz w:val="28"/>
          <w:szCs w:val="28"/>
          <w:lang w:val="en-US"/>
        </w:rPr>
        <w:t>Điều, gồm:</w:t>
      </w:r>
    </w:p>
    <w:p>
      <w:pPr>
        <w:spacing w:before="60" w:after="60" w:line="360" w:lineRule="exact"/>
        <w:ind w:firstLine="709"/>
        <w:jc w:val="both"/>
        <w:rPr>
          <w:bCs/>
          <w:sz w:val="28"/>
          <w:szCs w:val="28"/>
        </w:rPr>
      </w:pPr>
      <w:r>
        <w:rPr>
          <w:bCs/>
          <w:sz w:val="28"/>
          <w:szCs w:val="28"/>
        </w:rPr>
        <w:t>Điều 1. Quy định về các yếu tố ảnh hưởng đến giá đất</w:t>
      </w:r>
    </w:p>
    <w:p>
      <w:pPr>
        <w:spacing w:before="60" w:after="60" w:line="360" w:lineRule="exact"/>
        <w:ind w:firstLine="709"/>
        <w:jc w:val="both"/>
        <w:rPr>
          <w:sz w:val="28"/>
          <w:szCs w:val="28"/>
        </w:rPr>
      </w:pPr>
      <w:r>
        <w:rPr>
          <w:sz w:val="28"/>
          <w:szCs w:val="28"/>
        </w:rPr>
        <w:t>Điều 2. Cách thức điều chỉnh đối với từng mức độ chênh lệch của từ</w:t>
      </w:r>
      <w:bookmarkStart w:id="2" w:name="dieu_6"/>
      <w:r>
        <w:rPr>
          <w:sz w:val="28"/>
          <w:szCs w:val="28"/>
        </w:rPr>
        <w:t>ng yếu tố ảnh hưởng đến giá đất</w:t>
      </w:r>
    </w:p>
    <w:p>
      <w:pPr>
        <w:spacing w:before="60" w:after="60" w:line="360" w:lineRule="exact"/>
        <w:ind w:firstLine="709"/>
        <w:jc w:val="both"/>
        <w:rPr>
          <w:sz w:val="28"/>
          <w:szCs w:val="28"/>
        </w:rPr>
      </w:pPr>
      <w:r>
        <w:rPr>
          <w:bCs/>
          <w:sz w:val="28"/>
          <w:szCs w:val="28"/>
        </w:rPr>
        <w:t>Điều 3. Tổ chức thực hiện</w:t>
      </w:r>
      <w:bookmarkEnd w:id="2"/>
    </w:p>
    <w:p>
      <w:pPr>
        <w:spacing w:before="60" w:after="60" w:line="360" w:lineRule="exact"/>
        <w:ind w:firstLine="709"/>
        <w:jc w:val="both"/>
        <w:rPr>
          <w:b/>
          <w:sz w:val="28"/>
          <w:szCs w:val="28"/>
        </w:rPr>
      </w:pPr>
      <w:r>
        <w:rPr>
          <w:b/>
          <w:sz w:val="28"/>
          <w:szCs w:val="28"/>
        </w:rPr>
        <w:t xml:space="preserve">2. Nội dung </w:t>
      </w:r>
      <w:r>
        <w:rPr>
          <w:b/>
          <w:sz w:val="28"/>
          <w:szCs w:val="28"/>
          <w:lang w:val="en-US"/>
        </w:rPr>
        <w:t>chính</w:t>
      </w:r>
      <w:r>
        <w:rPr>
          <w:b/>
          <w:sz w:val="28"/>
          <w:szCs w:val="28"/>
        </w:rPr>
        <w:t xml:space="preserve"> của dự thảo văn bản</w:t>
      </w:r>
    </w:p>
    <w:p>
      <w:pPr>
        <w:spacing w:before="60" w:after="60" w:line="360" w:lineRule="exact"/>
        <w:ind w:firstLine="709"/>
        <w:jc w:val="both"/>
        <w:rPr>
          <w:b/>
          <w:i/>
          <w:sz w:val="28"/>
          <w:szCs w:val="28"/>
        </w:rPr>
      </w:pPr>
      <w:r>
        <w:rPr>
          <w:b/>
          <w:i/>
          <w:sz w:val="28"/>
          <w:szCs w:val="28"/>
          <w:lang w:val="en-US"/>
        </w:rPr>
        <w:t>2.1.</w:t>
      </w:r>
      <w:r>
        <w:rPr>
          <w:b/>
          <w:i/>
          <w:sz w:val="28"/>
          <w:szCs w:val="28"/>
        </w:rPr>
        <w:t xml:space="preserve"> Tên của văn bản</w:t>
      </w:r>
    </w:p>
    <w:p>
      <w:pPr>
        <w:spacing w:before="60" w:after="60" w:line="360" w:lineRule="exact"/>
        <w:ind w:firstLine="709"/>
        <w:jc w:val="both"/>
        <w:rPr>
          <w:sz w:val="28"/>
          <w:szCs w:val="28"/>
        </w:rPr>
      </w:pPr>
      <w:r>
        <w:rPr>
          <w:sz w:val="28"/>
          <w:szCs w:val="28"/>
        </w:rPr>
        <w:t>Dự thảo Quyết định quy định các yếu tố ảnh hưởng đến giá đất, mức độ chênh lệch tối đa của từng yếu tố ảnh hưởng đến giá đất để xác định mức tương đồng nhất định, cách thức điều chỉnh đối với từng mức độ chênh lệch của từng yếu tố ảnh hưởng đến giá đất trong xác định giá đất cụ thể trên địa bàn tỉnh Bà Rịa - Vũng Tàu</w:t>
      </w:r>
    </w:p>
    <w:p>
      <w:pPr>
        <w:widowControl w:val="0"/>
        <w:spacing w:before="60" w:after="60" w:line="360" w:lineRule="exact"/>
        <w:ind w:firstLine="709"/>
        <w:jc w:val="both"/>
        <w:rPr>
          <w:b/>
          <w:i/>
          <w:sz w:val="28"/>
          <w:szCs w:val="28"/>
        </w:rPr>
      </w:pPr>
      <w:r>
        <w:rPr>
          <w:b/>
          <w:i/>
          <w:sz w:val="28"/>
          <w:szCs w:val="28"/>
          <w:lang w:val="en-US"/>
        </w:rPr>
        <w:t>2.2.</w:t>
      </w:r>
      <w:r>
        <w:rPr>
          <w:b/>
          <w:i/>
          <w:sz w:val="28"/>
          <w:szCs w:val="28"/>
        </w:rPr>
        <w:t xml:space="preserve"> Nội dung cụ thể</w:t>
      </w:r>
    </w:p>
    <w:p>
      <w:pPr>
        <w:shd w:val="solid" w:color="FFFFFF" w:fill="auto"/>
        <w:spacing w:before="60" w:after="60" w:line="360" w:lineRule="exact"/>
        <w:ind w:firstLine="709"/>
        <w:jc w:val="both"/>
        <w:rPr>
          <w:sz w:val="28"/>
          <w:szCs w:val="28"/>
          <w:lang w:val="pt-BR" w:eastAsia="en-US"/>
        </w:rPr>
      </w:pPr>
      <w:r>
        <w:rPr>
          <w:b/>
          <w:bCs/>
          <w:sz w:val="28"/>
          <w:szCs w:val="28"/>
          <w:lang w:val="pt-BR"/>
        </w:rPr>
        <w:t>Điều 1. Phạm vi điều chỉnh</w:t>
      </w:r>
    </w:p>
    <w:p>
      <w:pPr>
        <w:shd w:val="solid" w:color="FFFFFF" w:fill="auto"/>
        <w:spacing w:before="60" w:after="60" w:line="360" w:lineRule="exact"/>
        <w:ind w:firstLine="709"/>
        <w:jc w:val="both"/>
        <w:rPr>
          <w:sz w:val="28"/>
          <w:szCs w:val="28"/>
          <w:lang w:val="pt-BR"/>
        </w:rPr>
      </w:pPr>
      <w:r>
        <w:rPr>
          <w:sz w:val="28"/>
          <w:szCs w:val="28"/>
          <w:lang w:val="pt-BR"/>
        </w:rPr>
        <w:t xml:space="preserve">Quyết định này quy định các yếu tố ảnh hưởng đến giá đất mức độ chênh lệch tối đa của từng yếu tố ảnh hưởng đến giá đất để xác định mức tương đồng </w:t>
      </w:r>
      <w:r>
        <w:rPr>
          <w:sz w:val="28"/>
          <w:szCs w:val="28"/>
          <w:lang w:val="pt-BR"/>
        </w:rPr>
        <w:lastRenderedPageBreak/>
        <w:t>nhất định, cách thức điều chỉnh đối với từng mức độ chênh lệch của từng yếu tố ảnh hưởng đến giá đất trong việc xác định giá đất cụ trên địa bàn tỉnh Bà Rịa - Vũng Tàu.</w:t>
      </w:r>
    </w:p>
    <w:p>
      <w:pPr>
        <w:shd w:val="solid" w:color="FFFFFF" w:fill="auto"/>
        <w:spacing w:before="60" w:after="60" w:line="360" w:lineRule="exact"/>
        <w:ind w:firstLine="709"/>
        <w:jc w:val="both"/>
        <w:rPr>
          <w:sz w:val="28"/>
          <w:szCs w:val="28"/>
          <w:lang w:val="pt-BR"/>
        </w:rPr>
      </w:pPr>
      <w:bookmarkStart w:id="3" w:name="dieu_2"/>
      <w:r>
        <w:rPr>
          <w:b/>
          <w:bCs/>
          <w:sz w:val="28"/>
          <w:szCs w:val="28"/>
          <w:lang w:val="pt-BR"/>
        </w:rPr>
        <w:t>Điều 2. Đối tượng áp dụng</w:t>
      </w:r>
      <w:bookmarkEnd w:id="3"/>
    </w:p>
    <w:p>
      <w:pPr>
        <w:shd w:val="solid" w:color="FFFFFF" w:fill="auto"/>
        <w:spacing w:before="60" w:after="60" w:line="360" w:lineRule="exact"/>
        <w:ind w:firstLine="709"/>
        <w:jc w:val="both"/>
        <w:rPr>
          <w:sz w:val="28"/>
          <w:szCs w:val="28"/>
          <w:lang w:val="pt-BR"/>
        </w:rPr>
      </w:pPr>
      <w:r>
        <w:rPr>
          <w:sz w:val="28"/>
          <w:szCs w:val="28"/>
          <w:lang w:val="pt-BR"/>
        </w:rPr>
        <w:t>1. Cơ quan thực hiện chức năng quản lý Nhà nước về đất đai; cơ quan, người có thẩm quyền xác định, thẩm định, quyết định giá đất cụ thể trên địa bàn tỉnh Bà Rịa-Vũng Tàu.</w:t>
      </w:r>
    </w:p>
    <w:p>
      <w:pPr>
        <w:shd w:val="solid" w:color="FFFFFF" w:fill="auto"/>
        <w:spacing w:before="60" w:after="60" w:line="360" w:lineRule="exact"/>
        <w:ind w:firstLine="709"/>
        <w:jc w:val="both"/>
        <w:rPr>
          <w:sz w:val="28"/>
          <w:szCs w:val="28"/>
          <w:lang w:val="pt-BR"/>
        </w:rPr>
      </w:pPr>
      <w:r>
        <w:rPr>
          <w:sz w:val="28"/>
          <w:szCs w:val="28"/>
          <w:lang w:val="pt-BR"/>
        </w:rPr>
        <w:t>2. Tổ chức tư vấn xác định giá đất, cá nhân hành nghề tư vấn xác định giá đất.</w:t>
      </w:r>
    </w:p>
    <w:p>
      <w:pPr>
        <w:shd w:val="solid" w:color="FFFFFF" w:fill="auto"/>
        <w:spacing w:before="60" w:after="60" w:line="360" w:lineRule="exact"/>
        <w:ind w:firstLine="709"/>
        <w:jc w:val="both"/>
        <w:rPr>
          <w:sz w:val="28"/>
          <w:szCs w:val="28"/>
          <w:lang w:val="pt-BR"/>
        </w:rPr>
      </w:pPr>
      <w:r>
        <w:rPr>
          <w:sz w:val="28"/>
          <w:szCs w:val="28"/>
          <w:lang w:val="pt-BR"/>
        </w:rPr>
        <w:t>3. Tổ chức, cá nhân khác có liên quan.</w:t>
      </w:r>
    </w:p>
    <w:p>
      <w:pPr>
        <w:shd w:val="solid" w:color="FFFFFF" w:fill="auto"/>
        <w:spacing w:before="60" w:after="60" w:line="360" w:lineRule="exact"/>
        <w:ind w:firstLine="709"/>
        <w:jc w:val="both"/>
        <w:rPr>
          <w:b/>
          <w:bCs/>
          <w:sz w:val="28"/>
          <w:szCs w:val="28"/>
          <w:lang w:val="nl-NL"/>
        </w:rPr>
      </w:pPr>
      <w:r>
        <w:rPr>
          <w:b/>
          <w:sz w:val="28"/>
          <w:szCs w:val="28"/>
          <w:lang w:val="pt-BR"/>
        </w:rPr>
        <w:t xml:space="preserve">Điều 3. </w:t>
      </w:r>
      <w:r>
        <w:rPr>
          <w:b/>
          <w:bCs/>
          <w:sz w:val="28"/>
          <w:szCs w:val="28"/>
          <w:lang w:val="nl-NL"/>
        </w:rPr>
        <w:t>Quy định cụ thể các yếu tố ảnh hưởng đến giá đất</w:t>
      </w:r>
    </w:p>
    <w:p>
      <w:pPr>
        <w:spacing w:before="60" w:after="60" w:line="360" w:lineRule="exact"/>
        <w:ind w:firstLine="709"/>
        <w:jc w:val="both"/>
        <w:rPr>
          <w:bCs/>
          <w:sz w:val="28"/>
          <w:szCs w:val="28"/>
          <w:lang w:val="nl-NL"/>
        </w:rPr>
      </w:pPr>
      <w:r>
        <w:rPr>
          <w:bCs/>
          <w:sz w:val="28"/>
          <w:szCs w:val="28"/>
          <w:lang w:val="nl-NL"/>
        </w:rPr>
        <w:t>1. Đối với khu đất, thửa đất là đất phi nông nghiệp</w:t>
      </w:r>
    </w:p>
    <w:p>
      <w:pPr>
        <w:spacing w:before="60" w:after="60" w:line="360" w:lineRule="exact"/>
        <w:ind w:firstLine="709"/>
        <w:jc w:val="both"/>
        <w:rPr>
          <w:sz w:val="28"/>
          <w:szCs w:val="28"/>
          <w:lang w:val="nl-NL"/>
        </w:rPr>
      </w:pPr>
      <w:r>
        <w:rPr>
          <w:bCs/>
          <w:sz w:val="28"/>
          <w:szCs w:val="28"/>
          <w:lang w:val="nl-NL"/>
        </w:rPr>
        <w:t xml:space="preserve">a) Vị trí, địa điểm của khu đất, thửa đất nông nghiệp </w:t>
      </w:r>
    </w:p>
    <w:p>
      <w:pPr>
        <w:spacing w:before="60" w:after="60" w:line="360" w:lineRule="exact"/>
        <w:ind w:firstLine="709"/>
        <w:jc w:val="both"/>
        <w:rPr>
          <w:sz w:val="28"/>
          <w:szCs w:val="28"/>
          <w:lang w:val="nl-NL"/>
        </w:rPr>
      </w:pPr>
      <w:r>
        <w:rPr>
          <w:sz w:val="28"/>
          <w:szCs w:val="28"/>
          <w:lang w:val="nl-NL"/>
        </w:rPr>
        <w:t>- Khoảng cách theo thứ tự ưu tiên đến: Trung tâm hành chính; trung tâm thương mại; giáo dục và đào tạo; công viên, khu vui chơi giải trí; chợ, cơ sở y tế (theo vị trí, hiện trạng của dự án, khu đất, thửa đất). Mức điều chỉnh chênh lệch: không quá 5%.</w:t>
      </w:r>
    </w:p>
    <w:p>
      <w:pPr>
        <w:spacing w:before="60" w:after="60" w:line="360" w:lineRule="exact"/>
        <w:ind w:firstLine="709"/>
        <w:jc w:val="both"/>
        <w:rPr>
          <w:sz w:val="28"/>
          <w:szCs w:val="28"/>
          <w:lang w:val="nl-NL"/>
        </w:rPr>
      </w:pPr>
      <w:r>
        <w:rPr>
          <w:sz w:val="28"/>
          <w:szCs w:val="28"/>
          <w:lang w:val="nl-NL"/>
        </w:rPr>
        <w:t>- Giá đất theo Bảng giá đất của tỉnh (theo vị trí của dự án, khu đất, thửa đất). Mức điều chỉnh chênh lệch: không quá 15%.</w:t>
      </w:r>
    </w:p>
    <w:p>
      <w:pPr>
        <w:spacing w:before="60" w:after="60" w:line="360" w:lineRule="exact"/>
        <w:ind w:firstLine="709"/>
        <w:jc w:val="both"/>
        <w:rPr>
          <w:sz w:val="28"/>
          <w:szCs w:val="28"/>
          <w:lang w:val="nl-NL"/>
        </w:rPr>
      </w:pPr>
      <w:r>
        <w:rPr>
          <w:bCs/>
          <w:sz w:val="28"/>
          <w:szCs w:val="28"/>
          <w:lang w:val="nl-NL"/>
        </w:rPr>
        <w:t>b) Điều kiện giao thông của khu đất, thửa đất</w:t>
      </w:r>
    </w:p>
    <w:p>
      <w:pPr>
        <w:spacing w:before="60" w:after="60" w:line="360" w:lineRule="exact"/>
        <w:ind w:firstLine="709"/>
        <w:jc w:val="both"/>
        <w:rPr>
          <w:sz w:val="28"/>
          <w:szCs w:val="28"/>
          <w:lang w:val="nl-NL"/>
        </w:rPr>
      </w:pPr>
      <w:r>
        <w:rPr>
          <w:sz w:val="28"/>
          <w:szCs w:val="28"/>
          <w:lang w:val="nl-NL"/>
        </w:rPr>
        <w:t>- Loại đường (kết cấu đường nhựa, bê tông, đất và kết cấu đường khác) tiếp giáp với Dự án, khu đất, thửa đất theo hiện trạng tại thời điểm định giá đất. Mức điều chỉnh chênh lệch: không quá 15%.</w:t>
      </w:r>
    </w:p>
    <w:p>
      <w:pPr>
        <w:spacing w:before="60" w:after="60" w:line="360" w:lineRule="exact"/>
        <w:ind w:firstLine="709"/>
        <w:jc w:val="both"/>
        <w:rPr>
          <w:sz w:val="28"/>
          <w:szCs w:val="28"/>
          <w:lang w:val="nl-NL"/>
        </w:rPr>
      </w:pPr>
      <w:r>
        <w:rPr>
          <w:sz w:val="28"/>
          <w:szCs w:val="28"/>
          <w:lang w:val="nl-NL"/>
        </w:rPr>
        <w:t>- Độ rộng đường (bao gồm cả vỉa hè) tiếp giáp của dự án, khu đất, thửa đất. Mức điều chỉnh chênh lệch: không quá 1%.</w:t>
      </w:r>
    </w:p>
    <w:p>
      <w:pPr>
        <w:spacing w:before="60" w:after="60" w:line="360" w:lineRule="exact"/>
        <w:ind w:firstLine="709"/>
        <w:jc w:val="both"/>
        <w:rPr>
          <w:sz w:val="28"/>
          <w:szCs w:val="28"/>
          <w:lang w:val="nl-NL"/>
        </w:rPr>
      </w:pPr>
      <w:r>
        <w:rPr>
          <w:sz w:val="28"/>
          <w:szCs w:val="28"/>
          <w:lang w:val="nl-NL"/>
        </w:rPr>
        <w:t>- Số mặt đường tiếp giáp của dự án, khu đất, thửa đất (bao gồm đường, ngõ). Mức điều chỉnh chênh lệch: không quá 15%.</w:t>
      </w:r>
    </w:p>
    <w:p>
      <w:pPr>
        <w:spacing w:before="60" w:after="60" w:line="360" w:lineRule="exact"/>
        <w:ind w:firstLine="709"/>
        <w:jc w:val="both"/>
        <w:rPr>
          <w:sz w:val="28"/>
          <w:szCs w:val="28"/>
          <w:lang w:val="nl-NL"/>
        </w:rPr>
      </w:pPr>
      <w:r>
        <w:rPr>
          <w:sz w:val="28"/>
          <w:szCs w:val="28"/>
          <w:lang w:val="nl-NL"/>
        </w:rPr>
        <w:t>Đối với trường hợp ước tính giá chuyển nhượng đất, nhà ở riêng lẻ: Tổ chức xác định giá đất thực hiện khảo sát, thu thập và đánh giá thêm tiêu chí về mặt cắt đường nội bộ (nếu có) tiếp giáp của thửa đất theo quy hoạch được phê duyệt. Mức điều chỉnh chênh lệch: không quá 5%.</w:t>
      </w:r>
    </w:p>
    <w:p>
      <w:pPr>
        <w:spacing w:before="60" w:after="60" w:line="360" w:lineRule="exact"/>
        <w:ind w:firstLine="709"/>
        <w:jc w:val="both"/>
        <w:rPr>
          <w:sz w:val="28"/>
          <w:szCs w:val="28"/>
          <w:lang w:val="nl-NL"/>
        </w:rPr>
      </w:pPr>
      <w:r>
        <w:rPr>
          <w:bCs/>
          <w:sz w:val="28"/>
          <w:szCs w:val="28"/>
          <w:lang w:val="nl-NL"/>
        </w:rPr>
        <w:t xml:space="preserve">c) </w:t>
      </w:r>
      <w:r>
        <w:rPr>
          <w:sz w:val="28"/>
          <w:szCs w:val="28"/>
          <w:lang w:val="nl-NL"/>
        </w:rPr>
        <w:t>Điều kiện về cấp thoát nước, cấp điện</w:t>
      </w:r>
    </w:p>
    <w:p>
      <w:pPr>
        <w:spacing w:before="60" w:after="60" w:line="360" w:lineRule="exact"/>
        <w:ind w:firstLine="709"/>
        <w:jc w:val="both"/>
        <w:rPr>
          <w:sz w:val="28"/>
          <w:szCs w:val="28"/>
          <w:lang w:val="nl-NL"/>
        </w:rPr>
      </w:pPr>
      <w:r>
        <w:rPr>
          <w:sz w:val="28"/>
          <w:szCs w:val="28"/>
          <w:lang w:val="nl-NL"/>
        </w:rPr>
        <w:t>- Khu vực cấp nước, cấp điện ổn định hay không ổn định. Mức điều chỉnh chênh lệch: không quá 5%.</w:t>
      </w:r>
    </w:p>
    <w:p>
      <w:pPr>
        <w:spacing w:before="60" w:after="60" w:line="360" w:lineRule="exact"/>
        <w:ind w:firstLine="709"/>
        <w:jc w:val="both"/>
        <w:rPr>
          <w:sz w:val="28"/>
          <w:szCs w:val="28"/>
          <w:lang w:val="nl-NL"/>
        </w:rPr>
      </w:pPr>
      <w:r>
        <w:rPr>
          <w:sz w:val="28"/>
          <w:szCs w:val="28"/>
          <w:lang w:val="nl-NL"/>
        </w:rPr>
        <w:t>- Tình trạng ngập úng khi lượng mưa lớn. Mức điều chỉnh chênh lệch: không quá 5%.</w:t>
      </w:r>
    </w:p>
    <w:p>
      <w:pPr>
        <w:spacing w:before="60" w:after="60" w:line="360" w:lineRule="exact"/>
        <w:ind w:firstLine="709"/>
        <w:jc w:val="both"/>
        <w:rPr>
          <w:sz w:val="28"/>
          <w:szCs w:val="28"/>
          <w:lang w:val="nl-NL"/>
        </w:rPr>
      </w:pPr>
      <w:r>
        <w:rPr>
          <w:sz w:val="28"/>
          <w:szCs w:val="28"/>
          <w:lang w:val="nl-NL"/>
        </w:rPr>
        <w:lastRenderedPageBreak/>
        <w:t xml:space="preserve">d) </w:t>
      </w:r>
      <w:r>
        <w:rPr>
          <w:bCs/>
          <w:sz w:val="28"/>
          <w:szCs w:val="28"/>
          <w:lang w:val="nl-NL"/>
        </w:rPr>
        <w:t>Diện tích, kích thước, hình thể của khu đất, thửa đất</w:t>
      </w:r>
    </w:p>
    <w:p>
      <w:pPr>
        <w:spacing w:before="60" w:after="60" w:line="360" w:lineRule="exact"/>
        <w:ind w:firstLine="709"/>
        <w:jc w:val="both"/>
        <w:rPr>
          <w:sz w:val="28"/>
          <w:szCs w:val="28"/>
          <w:lang w:val="nl-NL"/>
        </w:rPr>
      </w:pPr>
      <w:r>
        <w:rPr>
          <w:sz w:val="28"/>
          <w:szCs w:val="28"/>
          <w:lang w:val="nl-NL"/>
        </w:rPr>
        <w:t>- Diện tích, hình thể của thửa đất, khu đất. Trường hợp tài sản định giá là nhiều thửa đất tương tự về vị trí, hình thể thì diện tích của thửa đất đại diện được lấy theo diện tích bình quân của các thửa đất là tài sản định giá. Mức điều chỉnh chênh lệch: không quá 10%.</w:t>
      </w:r>
    </w:p>
    <w:p>
      <w:pPr>
        <w:spacing w:before="60" w:after="60" w:line="360" w:lineRule="exact"/>
        <w:ind w:firstLine="709"/>
        <w:jc w:val="both"/>
        <w:rPr>
          <w:sz w:val="28"/>
          <w:szCs w:val="28"/>
          <w:lang w:val="nl-NL"/>
        </w:rPr>
      </w:pPr>
      <w:r>
        <w:rPr>
          <w:sz w:val="28"/>
          <w:szCs w:val="28"/>
          <w:lang w:val="nl-NL"/>
        </w:rPr>
        <w:t>- Mặt tiền, chiều sâu của thửa đất, khu đất (kích thước bình quân trong trường hợp tài sản định giá là nhiều thửa đất tương tự về vị trí, hình thể). Mức điều chỉnh chênh lệch: không quá 5%.</w:t>
      </w:r>
    </w:p>
    <w:p>
      <w:pPr>
        <w:spacing w:before="60" w:after="60" w:line="360" w:lineRule="exact"/>
        <w:ind w:firstLine="709"/>
        <w:jc w:val="both"/>
        <w:rPr>
          <w:sz w:val="28"/>
          <w:szCs w:val="28"/>
          <w:lang w:val="nl-NL"/>
        </w:rPr>
      </w:pPr>
      <w:r>
        <w:rPr>
          <w:sz w:val="28"/>
          <w:szCs w:val="28"/>
          <w:lang w:val="nl-NL"/>
        </w:rPr>
        <w:t>Trường hợp ước tính: Giá chuyển nhượng căn hộ chung cư; Giá cho thuê căn hộ cao tầng; Giá cho thuê sàn thương mại dịch vụ, văn phòng nằm trong tòa nhà hỗn hợp: Thực hiện khảo sát, thu thập và đánh giá theo tiêu chí diện tích của căn hộ, diện tích sàn cho thuê (Đối với tài sản định giá lấy theo diện tích bình quân). Mức điều chỉnh chênh lệch: không quá 10%.</w:t>
      </w:r>
    </w:p>
    <w:p>
      <w:pPr>
        <w:spacing w:before="60" w:after="60" w:line="360" w:lineRule="exact"/>
        <w:ind w:firstLine="709"/>
        <w:jc w:val="both"/>
        <w:rPr>
          <w:bCs/>
          <w:sz w:val="28"/>
          <w:szCs w:val="28"/>
          <w:lang w:val="nl-NL"/>
        </w:rPr>
      </w:pPr>
      <w:r>
        <w:rPr>
          <w:bCs/>
          <w:sz w:val="28"/>
          <w:szCs w:val="28"/>
          <w:lang w:val="nl-NL"/>
        </w:rPr>
        <w:t>đ) Các yếu tố liên quan đến quy hoạch xây dựng</w:t>
      </w:r>
    </w:p>
    <w:p>
      <w:pPr>
        <w:spacing w:before="60" w:after="60" w:line="360" w:lineRule="exact"/>
        <w:ind w:firstLine="709"/>
        <w:jc w:val="both"/>
        <w:rPr>
          <w:sz w:val="28"/>
          <w:szCs w:val="28"/>
          <w:lang w:val="nl-NL"/>
        </w:rPr>
      </w:pPr>
      <w:r>
        <w:rPr>
          <w:sz w:val="28"/>
          <w:szCs w:val="28"/>
          <w:lang w:val="nl-NL"/>
        </w:rPr>
        <w:t>- Hệ số sử dụng đất, mật độ xây dựng. Mức điều chỉnh chênh lệch: không quá 5%.</w:t>
      </w:r>
    </w:p>
    <w:p>
      <w:pPr>
        <w:spacing w:before="60" w:after="60" w:line="360" w:lineRule="exact"/>
        <w:ind w:firstLine="709"/>
        <w:jc w:val="both"/>
        <w:rPr>
          <w:sz w:val="28"/>
          <w:szCs w:val="28"/>
          <w:lang w:val="nl-NL"/>
        </w:rPr>
      </w:pPr>
      <w:r>
        <w:rPr>
          <w:sz w:val="28"/>
          <w:szCs w:val="28"/>
          <w:lang w:val="nl-NL"/>
        </w:rPr>
        <w:t xml:space="preserve">- Số tầng cao công trình, tầng hầm. Mức điều chỉnh chênh lệch: không quá 5%. </w:t>
      </w:r>
    </w:p>
    <w:p>
      <w:pPr>
        <w:spacing w:before="60" w:after="60" w:line="360" w:lineRule="exact"/>
        <w:ind w:firstLine="709"/>
        <w:jc w:val="both"/>
        <w:rPr>
          <w:sz w:val="28"/>
          <w:szCs w:val="28"/>
          <w:lang w:val="nl-NL"/>
        </w:rPr>
      </w:pPr>
      <w:r>
        <w:rPr>
          <w:sz w:val="28"/>
          <w:szCs w:val="28"/>
          <w:lang w:val="nl-NL"/>
        </w:rPr>
        <w:t>Đối với loại hình kinh doanh khách sạn: Tổ chức xác định giá đất thực hiện khảo sát, thu thập và đánh giá thêm tiêu chí: Số phòng, tiêu chuẩn dịch vụ của khách sạn (xếp hạng theo số sao). Mức điều chỉnh chênh lệch: không quá 5%.</w:t>
      </w:r>
    </w:p>
    <w:p>
      <w:pPr>
        <w:spacing w:before="60" w:after="60" w:line="360" w:lineRule="exact"/>
        <w:ind w:firstLine="709"/>
        <w:jc w:val="both"/>
        <w:rPr>
          <w:sz w:val="28"/>
          <w:szCs w:val="28"/>
          <w:lang w:val="nl-NL"/>
        </w:rPr>
      </w:pPr>
      <w:r>
        <w:rPr>
          <w:bCs/>
          <w:sz w:val="28"/>
          <w:szCs w:val="28"/>
          <w:lang w:val="nl-NL"/>
        </w:rPr>
        <w:t>e) Hiện trạng môi trường, an ninh của khu đất, thửa đất</w:t>
      </w:r>
    </w:p>
    <w:p>
      <w:pPr>
        <w:spacing w:before="60" w:after="60" w:line="360" w:lineRule="exact"/>
        <w:ind w:firstLine="709"/>
        <w:jc w:val="both"/>
        <w:rPr>
          <w:sz w:val="28"/>
          <w:szCs w:val="28"/>
          <w:lang w:val="nl-NL"/>
        </w:rPr>
      </w:pPr>
      <w:r>
        <w:rPr>
          <w:sz w:val="28"/>
          <w:szCs w:val="28"/>
          <w:lang w:val="nl-NL"/>
        </w:rPr>
        <w:t>- Bụi, tiếng ồn, ô nhiễm không khí và nguồn nước; gần khu nghĩa trang, khu xử lý rác thải. Mức điều chỉnh chênh lệch: không quá 5%.</w:t>
      </w:r>
    </w:p>
    <w:p>
      <w:pPr>
        <w:spacing w:before="60" w:after="60" w:line="360" w:lineRule="exact"/>
        <w:ind w:firstLine="709"/>
        <w:jc w:val="both"/>
        <w:rPr>
          <w:sz w:val="28"/>
          <w:szCs w:val="28"/>
          <w:lang w:val="nl-NL"/>
        </w:rPr>
      </w:pPr>
      <w:r>
        <w:rPr>
          <w:sz w:val="28"/>
          <w:szCs w:val="28"/>
          <w:lang w:val="nl-NL"/>
        </w:rPr>
        <w:t>- Mật độ dân cư, tình trạng an ninh khu vực. Mức điều chỉnh chênh lệch: không quá 5%.</w:t>
      </w:r>
    </w:p>
    <w:p>
      <w:pPr>
        <w:spacing w:before="60" w:after="60" w:line="360" w:lineRule="exact"/>
        <w:ind w:firstLine="709"/>
        <w:jc w:val="both"/>
        <w:rPr>
          <w:sz w:val="28"/>
          <w:szCs w:val="28"/>
          <w:lang w:val="nl-NL"/>
        </w:rPr>
      </w:pPr>
      <w:r>
        <w:rPr>
          <w:sz w:val="28"/>
          <w:szCs w:val="28"/>
          <w:lang w:val="nl-NL"/>
        </w:rPr>
        <w:t>g)  Thời hạn sử dụng đất</w:t>
      </w:r>
    </w:p>
    <w:p>
      <w:pPr>
        <w:spacing w:before="60" w:after="60" w:line="360" w:lineRule="exact"/>
        <w:ind w:firstLine="709"/>
        <w:jc w:val="both"/>
        <w:rPr>
          <w:sz w:val="28"/>
          <w:szCs w:val="28"/>
          <w:lang w:val="nl-NL"/>
        </w:rPr>
      </w:pPr>
      <w:r>
        <w:rPr>
          <w:sz w:val="28"/>
          <w:szCs w:val="28"/>
          <w:lang w:val="nl-NL"/>
        </w:rPr>
        <w:t>- Thời hạn sử dụng đất còn lại thực hiện Dự án. Mức điều chỉnh chênh lệch: không quá 5%.</w:t>
      </w:r>
    </w:p>
    <w:p>
      <w:pPr>
        <w:spacing w:before="60" w:after="60" w:line="360" w:lineRule="exact"/>
        <w:ind w:firstLine="709"/>
        <w:jc w:val="both"/>
        <w:rPr>
          <w:sz w:val="28"/>
          <w:szCs w:val="28"/>
          <w:lang w:val="nl-NL"/>
        </w:rPr>
      </w:pPr>
      <w:r>
        <w:rPr>
          <w:sz w:val="28"/>
          <w:szCs w:val="28"/>
          <w:lang w:val="nl-NL"/>
        </w:rPr>
        <w:t>- Đối với đất ở, căn hộ bán (thời hạn sử dụng lâu dài): Không điều chỉnh.</w:t>
      </w:r>
    </w:p>
    <w:p>
      <w:pPr>
        <w:spacing w:before="60" w:after="60" w:line="360" w:lineRule="exact"/>
        <w:ind w:firstLine="709"/>
        <w:jc w:val="both"/>
        <w:rPr>
          <w:sz w:val="28"/>
          <w:szCs w:val="28"/>
          <w:lang w:val="nl-NL"/>
        </w:rPr>
      </w:pPr>
      <w:r>
        <w:rPr>
          <w:bCs/>
          <w:sz w:val="28"/>
          <w:szCs w:val="28"/>
          <w:lang w:val="nl-NL"/>
        </w:rPr>
        <w:t xml:space="preserve">h) </w:t>
      </w:r>
      <w:r>
        <w:rPr>
          <w:sz w:val="28"/>
          <w:szCs w:val="28"/>
          <w:lang w:val="nl-NL"/>
        </w:rPr>
        <w:t>Các yếu tố khác ảnh hưởng đến giá đất phù hợp với điều kiện thực tế, truyền thống văn hóa, phong tục tập quán của địa phương bao gồm: Danh lam thắng cảnh; Đền, chùa, miếu mạo; Làng nghề truyền thống. Mức điều chỉnh chênh lệch: không quá 5%.</w:t>
      </w:r>
    </w:p>
    <w:p>
      <w:pPr>
        <w:spacing w:before="60" w:after="60" w:line="360" w:lineRule="exact"/>
        <w:ind w:firstLine="709"/>
        <w:jc w:val="both"/>
        <w:rPr>
          <w:b/>
          <w:sz w:val="28"/>
          <w:szCs w:val="28"/>
          <w:lang w:val="nl-NL"/>
        </w:rPr>
      </w:pPr>
      <w:r>
        <w:rPr>
          <w:sz w:val="28"/>
          <w:szCs w:val="28"/>
          <w:lang w:val="nl-NL"/>
        </w:rPr>
        <w:t>2. Đối với khu đất, thửa đất là đất nông nghiệp</w:t>
      </w:r>
    </w:p>
    <w:p>
      <w:pPr>
        <w:spacing w:before="60" w:after="60" w:line="360" w:lineRule="exact"/>
        <w:ind w:firstLine="709"/>
        <w:jc w:val="both"/>
        <w:rPr>
          <w:sz w:val="28"/>
          <w:szCs w:val="28"/>
          <w:lang w:val="nl-NL"/>
        </w:rPr>
      </w:pPr>
      <w:r>
        <w:rPr>
          <w:sz w:val="28"/>
          <w:szCs w:val="28"/>
          <w:lang w:val="nl-NL"/>
        </w:rPr>
        <w:t>a) Mức điều chỉnh chênh lệch về năng suất cây trồng, vật nuôi là không quá 20%.</w:t>
      </w:r>
    </w:p>
    <w:p>
      <w:pPr>
        <w:spacing w:before="60" w:after="60" w:line="360" w:lineRule="exact"/>
        <w:ind w:firstLine="709"/>
        <w:jc w:val="both"/>
        <w:rPr>
          <w:sz w:val="28"/>
          <w:szCs w:val="28"/>
          <w:lang w:val="nl-NL"/>
        </w:rPr>
      </w:pPr>
      <w:r>
        <w:rPr>
          <w:sz w:val="28"/>
          <w:szCs w:val="28"/>
          <w:lang w:val="nl-NL"/>
        </w:rPr>
        <w:lastRenderedPageBreak/>
        <w:t>b) Vị trí, đặc điểm thửa đất, khu đất: khoảng cách gần nhất đến nơi sản xuất, tiêu thụ sản phẩm. Mức điều chỉnh chênh lệch: không quá 20%.</w:t>
      </w:r>
    </w:p>
    <w:p>
      <w:pPr>
        <w:spacing w:before="60" w:after="60" w:line="360" w:lineRule="exact"/>
        <w:ind w:firstLine="709"/>
        <w:jc w:val="both"/>
        <w:rPr>
          <w:sz w:val="28"/>
          <w:szCs w:val="28"/>
          <w:lang w:val="nl-NL"/>
        </w:rPr>
      </w:pPr>
      <w:r>
        <w:rPr>
          <w:sz w:val="28"/>
          <w:szCs w:val="28"/>
          <w:lang w:val="nl-NL"/>
        </w:rPr>
        <w:t>c) Điều kiện giao thông phục vụ sản xuất, tiêu thụ sản phẩm: độ rộng, cấp đường, kết cấu mặt đường; điều kiện về địa hình. Mức điều chỉnh chênh lệch: không quá 20%.</w:t>
      </w:r>
    </w:p>
    <w:p>
      <w:pPr>
        <w:spacing w:before="60" w:after="60" w:line="360" w:lineRule="exact"/>
        <w:ind w:firstLine="709"/>
        <w:jc w:val="both"/>
        <w:rPr>
          <w:sz w:val="28"/>
          <w:szCs w:val="28"/>
          <w:lang w:val="nl-NL"/>
        </w:rPr>
      </w:pPr>
      <w:r>
        <w:rPr>
          <w:sz w:val="28"/>
          <w:szCs w:val="28"/>
          <w:lang w:val="nl-NL"/>
        </w:rPr>
        <w:t>d) Thời hạn sử dụng đất, trừ đất nông nghiệp được Nhà nước giao cho hộ gia đình, cá nhân theo hạn mức giao đất nông nghiệp, đất nông nghiệp trong hạn mức nhận chuyển quyền thì không căn cứ vào thời hạn sử dụng đất. Mức điều chỉnh chênh lệch: không quá 20%.</w:t>
      </w:r>
    </w:p>
    <w:p>
      <w:pPr>
        <w:spacing w:before="60" w:after="60" w:line="360" w:lineRule="exact"/>
        <w:ind w:firstLine="709"/>
        <w:jc w:val="both"/>
        <w:rPr>
          <w:sz w:val="28"/>
          <w:szCs w:val="28"/>
          <w:lang w:val="nl-NL"/>
        </w:rPr>
      </w:pPr>
      <w:r>
        <w:rPr>
          <w:sz w:val="28"/>
          <w:szCs w:val="28"/>
          <w:lang w:val="nl-NL"/>
        </w:rPr>
        <w:t>đ) Các yếu tố khác ảnh hưởng đến giá đất phù hợp với thực tế, truyền thống văn hóa, phong tục tập quán của địa phương: Căn cứ tình hình thực tế, tổ chức tư vấn xác định giá đất đề xuất cụ thể trong báo cáo thuyết minh xây dựng phương án giá đất. Mức điều chỉnh chênh lệch: không quá 20%.</w:t>
      </w:r>
    </w:p>
    <w:p>
      <w:pPr>
        <w:spacing w:before="60" w:after="60" w:line="360" w:lineRule="exact"/>
        <w:ind w:firstLine="709"/>
        <w:jc w:val="both"/>
        <w:rPr>
          <w:b/>
          <w:sz w:val="28"/>
          <w:szCs w:val="28"/>
          <w:lang w:val="nl-NL"/>
        </w:rPr>
      </w:pPr>
      <w:r>
        <w:rPr>
          <w:b/>
          <w:sz w:val="28"/>
          <w:szCs w:val="28"/>
          <w:lang w:val="nl-NL"/>
        </w:rPr>
        <w:t>Điều 4. Cách thức điều chỉnh đối với từng mức độ chênh lệch của từng yếu tố ảnh hưởng đến giá đất</w:t>
      </w:r>
    </w:p>
    <w:p>
      <w:pPr>
        <w:spacing w:before="60" w:after="60" w:line="360" w:lineRule="exact"/>
        <w:ind w:firstLine="709"/>
        <w:jc w:val="both"/>
        <w:rPr>
          <w:sz w:val="28"/>
          <w:szCs w:val="28"/>
          <w:lang w:val="nl-NL"/>
        </w:rPr>
      </w:pPr>
      <w:r>
        <w:rPr>
          <w:sz w:val="28"/>
          <w:szCs w:val="28"/>
          <w:lang w:val="nl-NL"/>
        </w:rPr>
        <w:t>Tổ chức tư vấn xác định giá đất căn cứ quy định tại khoản 1, khoản 2 Điều này theo nguyên tắc lấy thửa đất, khu đất định giá làm chuẩn để thực hiện đề xuất mức điều chỉnh chênh lệch (tăng lên hoặc giảm xuống) của từng yếu tố ảnh hưởng đến giá đất trong báo cáo thuyết minh xây dựng phương án giá đất để Hội đồng thẩm định giá đất cụ thể thẩm định;</w:t>
      </w:r>
    </w:p>
    <w:p>
      <w:pPr>
        <w:shd w:val="solid" w:color="FFFFFF" w:fill="auto"/>
        <w:spacing w:before="60" w:after="60" w:line="360" w:lineRule="exact"/>
        <w:ind w:firstLine="709"/>
        <w:jc w:val="both"/>
        <w:rPr>
          <w:sz w:val="28"/>
          <w:szCs w:val="28"/>
          <w:lang w:val="pt-BR"/>
        </w:rPr>
      </w:pPr>
      <w:r>
        <w:rPr>
          <w:sz w:val="28"/>
          <w:szCs w:val="28"/>
          <w:lang w:val="nl-NL"/>
        </w:rPr>
        <w:t>Trường hợp quy định mức điều chỉnh chênh lệch từng yếu tố ảnh hưởng đến giá đất tại khoản 1, khoản 2 Điều này chưa đánh giá phù hợp mức tương đồng nhất định giữa Tài sản định giá và Tài sản so sánh, tổ chức tư vấn xác định giá đất đề xuất cụ thể trong Báo cáo thuyết minh xây dựng phương án giá đất để Hội đồng thẩm định giá đất xem xét, quyết định; Mức độ chênh lệch tối đa của từng yếu tố ảnh hưởng đến giá đất để xác định mức tương đồng nhất định giữa Tài sản định giá và Tài sản so sánh không quá 25%. Giá đất của thửa đất cần định giá đã xác định phải bảo đảm chênh lệch với từng giá đất ước tính không quá 15% theo quy định tại khoản 8 Điều 4 Nghị định số 71/2024/NĐ-CP ngày 27/6/2024 của Chính phủ.</w:t>
      </w:r>
    </w:p>
    <w:p>
      <w:pPr>
        <w:pStyle w:val="NormalWeb"/>
        <w:spacing w:before="60" w:beforeAutospacing="0" w:after="60" w:afterAutospacing="0" w:line="360" w:lineRule="exact"/>
        <w:ind w:firstLine="709"/>
        <w:jc w:val="both"/>
        <w:rPr>
          <w:rFonts w:ascii="Times New Roman" w:hAnsi="Times New Roman" w:cs="Times New Roman"/>
          <w:bCs/>
          <w:sz w:val="28"/>
          <w:szCs w:val="28"/>
          <w:lang w:val="pt-BR"/>
        </w:rPr>
      </w:pPr>
      <w:r>
        <w:rPr>
          <w:rFonts w:ascii="Times New Roman" w:hAnsi="Times New Roman" w:cs="Times New Roman"/>
          <w:b/>
          <w:bCs/>
          <w:sz w:val="28"/>
          <w:szCs w:val="28"/>
          <w:lang w:val="pt-BR"/>
        </w:rPr>
        <w:t>Điều 5.</w:t>
      </w:r>
      <w:r>
        <w:rPr>
          <w:rFonts w:ascii="Times New Roman" w:hAnsi="Times New Roman" w:cs="Times New Roman"/>
          <w:bCs/>
          <w:sz w:val="28"/>
          <w:szCs w:val="28"/>
          <w:lang w:val="pt-BR"/>
        </w:rPr>
        <w:t xml:space="preserve"> </w:t>
      </w:r>
      <w:r>
        <w:rPr>
          <w:rFonts w:ascii="Times New Roman" w:hAnsi="Times New Roman" w:cs="Times New Roman"/>
          <w:b/>
          <w:bCs/>
          <w:sz w:val="28"/>
          <w:szCs w:val="28"/>
          <w:lang w:val="pt-BR"/>
        </w:rPr>
        <w:t>Hiệu lực thi hành, xử lý chuyển tiếp</w:t>
      </w:r>
    </w:p>
    <w:p>
      <w:pPr>
        <w:pStyle w:val="NormalWeb"/>
        <w:spacing w:before="60" w:beforeAutospacing="0" w:after="60" w:afterAutospacing="0" w:line="360" w:lineRule="exact"/>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1. Quyết định này có hiệu lực thi hành kể từ ngày...tháng... năm 2024.</w:t>
      </w:r>
    </w:p>
    <w:p>
      <w:pPr>
        <w:pStyle w:val="NormalWeb"/>
        <w:spacing w:before="60" w:beforeAutospacing="0" w:after="60" w:afterAutospacing="0" w:line="360" w:lineRule="exact"/>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2. Trường hợp phương án giá đất chưa được trình Ủy ban nhân dân cấp có thẩm quyền phê duyệt thì căn cứ Quyết định này để thực hiện xác định giá đất cụ thể.</w:t>
      </w:r>
    </w:p>
    <w:p>
      <w:pPr>
        <w:shd w:val="solid" w:color="FFFFFF" w:fill="auto"/>
        <w:spacing w:before="60" w:after="60" w:line="360" w:lineRule="exact"/>
        <w:ind w:firstLine="709"/>
        <w:jc w:val="both"/>
        <w:rPr>
          <w:b/>
          <w:sz w:val="28"/>
          <w:szCs w:val="28"/>
          <w:lang w:val="nl-NL"/>
        </w:rPr>
      </w:pPr>
      <w:r>
        <w:rPr>
          <w:b/>
          <w:sz w:val="28"/>
          <w:szCs w:val="28"/>
          <w:lang w:val="nl-NL"/>
        </w:rPr>
        <w:t>Điều 6.</w:t>
      </w:r>
      <w:r>
        <w:rPr>
          <w:sz w:val="28"/>
          <w:szCs w:val="28"/>
          <w:lang w:val="nl-NL"/>
        </w:rPr>
        <w:t xml:space="preserve"> </w:t>
      </w:r>
      <w:r>
        <w:rPr>
          <w:b/>
          <w:sz w:val="28"/>
          <w:szCs w:val="28"/>
          <w:lang w:val="nl-NL"/>
        </w:rPr>
        <w:t>Tổ chức thực hiện</w:t>
      </w:r>
    </w:p>
    <w:p>
      <w:pPr>
        <w:widowControl w:val="0"/>
        <w:spacing w:before="60" w:after="60" w:line="360" w:lineRule="exact"/>
        <w:ind w:firstLine="709"/>
        <w:jc w:val="both"/>
        <w:rPr>
          <w:sz w:val="28"/>
          <w:szCs w:val="28"/>
          <w:lang w:val="en-US"/>
        </w:rPr>
      </w:pPr>
      <w:r>
        <w:rPr>
          <w:sz w:val="28"/>
          <w:szCs w:val="28"/>
          <w:lang w:val="en-US"/>
        </w:rPr>
        <w:t>Quy định các cơ quan thực hiện và cơ chế phản ánh các khó khăn, vướng mặc để hoàn thiện quy định.</w:t>
      </w:r>
    </w:p>
    <w:p>
      <w:pPr>
        <w:widowControl w:val="0"/>
        <w:shd w:val="clear" w:color="auto" w:fill="FFFFFF"/>
        <w:spacing w:before="60" w:after="60" w:line="360" w:lineRule="exact"/>
        <w:ind w:firstLine="709"/>
        <w:jc w:val="both"/>
        <w:rPr>
          <w:b/>
          <w:sz w:val="28"/>
          <w:szCs w:val="28"/>
        </w:rPr>
      </w:pPr>
      <w:bookmarkStart w:id="4" w:name="bookmark=id.3znysh7" w:colFirst="0" w:colLast="0"/>
      <w:bookmarkStart w:id="5" w:name="bookmark=id.2et92p0" w:colFirst="0" w:colLast="0"/>
      <w:bookmarkEnd w:id="4"/>
      <w:bookmarkEnd w:id="5"/>
      <w:r>
        <w:rPr>
          <w:b/>
          <w:sz w:val="28"/>
          <w:szCs w:val="28"/>
        </w:rPr>
        <w:lastRenderedPageBreak/>
        <w:t xml:space="preserve">VI. </w:t>
      </w:r>
      <w:r>
        <w:rPr>
          <w:b/>
          <w:sz w:val="28"/>
          <w:szCs w:val="28"/>
          <w:lang w:val="en-US"/>
        </w:rPr>
        <w:t>CÁC NỘI DUNG KHÁC</w:t>
      </w:r>
      <w:r>
        <w:rPr>
          <w:b/>
          <w:sz w:val="28"/>
          <w:szCs w:val="28"/>
        </w:rPr>
        <w:t xml:space="preserve"> </w:t>
      </w:r>
    </w:p>
    <w:p>
      <w:pPr>
        <w:spacing w:before="60" w:after="60" w:line="340" w:lineRule="exact"/>
        <w:ind w:firstLine="709"/>
        <w:jc w:val="both"/>
        <w:rPr>
          <w:b/>
          <w:sz w:val="28"/>
          <w:szCs w:val="28"/>
        </w:rPr>
      </w:pPr>
      <w:r>
        <w:rPr>
          <w:b/>
          <w:sz w:val="28"/>
          <w:szCs w:val="28"/>
          <w:lang w:val="en-US"/>
        </w:rPr>
        <w:t>1</w:t>
      </w:r>
      <w:r>
        <w:rPr>
          <w:b/>
          <w:sz w:val="28"/>
          <w:szCs w:val="28"/>
        </w:rPr>
        <w:t xml:space="preserve">. Dự kiến thời gian ban hành: </w:t>
      </w:r>
      <w:r>
        <w:rPr>
          <w:sz w:val="28"/>
          <w:szCs w:val="28"/>
        </w:rPr>
        <w:t>Năm 2025.</w:t>
      </w:r>
    </w:p>
    <w:p>
      <w:pPr>
        <w:spacing w:before="60" w:after="60" w:line="340" w:lineRule="exact"/>
        <w:ind w:firstLine="709"/>
        <w:jc w:val="both"/>
        <w:rPr>
          <w:b/>
          <w:sz w:val="28"/>
          <w:szCs w:val="28"/>
        </w:rPr>
      </w:pPr>
      <w:r>
        <w:rPr>
          <w:b/>
          <w:sz w:val="28"/>
          <w:szCs w:val="28"/>
          <w:lang w:val="en-US"/>
        </w:rPr>
        <w:t>2</w:t>
      </w:r>
      <w:r>
        <w:rPr>
          <w:b/>
          <w:sz w:val="28"/>
          <w:szCs w:val="28"/>
        </w:rPr>
        <w:t xml:space="preserve">. Cơ quan chủ trì soạn thảo: </w:t>
      </w:r>
      <w:r>
        <w:rPr>
          <w:sz w:val="28"/>
          <w:szCs w:val="28"/>
        </w:rPr>
        <w:t>Sở Tài nguyên và Môi trường.</w:t>
      </w:r>
    </w:p>
    <w:p>
      <w:pPr>
        <w:widowControl w:val="0"/>
        <w:shd w:val="clear" w:color="auto" w:fill="FFFFFF"/>
        <w:spacing w:before="60" w:after="60" w:line="360" w:lineRule="exact"/>
        <w:ind w:firstLine="709"/>
        <w:jc w:val="both"/>
        <w:rPr>
          <w:sz w:val="28"/>
          <w:szCs w:val="28"/>
        </w:rPr>
      </w:pPr>
      <w:r>
        <w:rPr>
          <w:sz w:val="28"/>
          <w:szCs w:val="28"/>
        </w:rPr>
        <w:t xml:space="preserve">Trên đây là Tờ trình đề nghị Ủy ban nhân dân tỉnh ban hành </w:t>
      </w:r>
      <w:r>
        <w:rPr>
          <w:sz w:val="28"/>
          <w:szCs w:val="28"/>
        </w:rPr>
        <w:t>Quyết định quy định các yếu tố ảnh hưởng đến giá đất, mức độ chênh lệch tối đa của từng yếu tố ảnh hưởng đ</w:t>
      </w:r>
      <w:bookmarkStart w:id="6" w:name="_GoBack"/>
      <w:bookmarkEnd w:id="6"/>
      <w:r>
        <w:rPr>
          <w:sz w:val="28"/>
          <w:szCs w:val="28"/>
        </w:rPr>
        <w:t>ến giá đất để xác định mức tương đồng nhất định, cách thức điều chỉnh đối với từng mức độ chênh lệch của từng yếu tố ảnh hưởng đến giá đất trong xác định giá đất cụ thể trên địa bàn tỉnh Bà Rịa - Vũng Tàu</w:t>
      </w:r>
      <w:r>
        <w:rPr>
          <w:sz w:val="28"/>
          <w:szCs w:val="28"/>
        </w:rPr>
        <w:t>. Sở Tài nguyên và Môi trường kính trình Ủy ban nhân dân tỉnh xem xét, quyết định./.</w:t>
      </w:r>
    </w:p>
    <w:p>
      <w:pPr>
        <w:widowControl w:val="0"/>
        <w:shd w:val="clear" w:color="auto" w:fill="FFFFFF"/>
        <w:spacing w:before="60" w:after="60" w:line="360" w:lineRule="exact"/>
        <w:ind w:firstLine="709"/>
        <w:jc w:val="both"/>
        <w:rPr>
          <w:i/>
          <w:sz w:val="28"/>
          <w:szCs w:val="28"/>
        </w:rPr>
      </w:pPr>
      <w:r>
        <w:rPr>
          <w:i/>
          <w:sz w:val="28"/>
          <w:szCs w:val="28"/>
          <w:lang w:val="en-US"/>
        </w:rPr>
        <w:t>(</w:t>
      </w:r>
      <w:r>
        <w:rPr>
          <w:i/>
          <w:sz w:val="28"/>
          <w:szCs w:val="28"/>
        </w:rPr>
        <w:t xml:space="preserve">Gửi kèm theo Tờ trình này, gồm: </w:t>
      </w:r>
    </w:p>
    <w:p>
      <w:pPr>
        <w:widowControl w:val="0"/>
        <w:shd w:val="clear" w:color="auto" w:fill="FFFFFF"/>
        <w:spacing w:before="60" w:after="60" w:line="360" w:lineRule="exact"/>
        <w:ind w:firstLine="709"/>
        <w:jc w:val="both"/>
        <w:rPr>
          <w:i/>
          <w:sz w:val="28"/>
          <w:szCs w:val="28"/>
        </w:rPr>
      </w:pPr>
      <w:r>
        <w:rPr>
          <w:i/>
          <w:sz w:val="28"/>
          <w:szCs w:val="28"/>
        </w:rPr>
        <w:t xml:space="preserve">1. Dự thảo Quyết định của Ủy ban nhân dân tỉnh. </w:t>
      </w:r>
    </w:p>
    <w:p>
      <w:pPr>
        <w:widowControl w:val="0"/>
        <w:shd w:val="clear" w:color="auto" w:fill="FFFFFF"/>
        <w:spacing w:before="60" w:after="60" w:line="360" w:lineRule="exact"/>
        <w:ind w:firstLine="709"/>
        <w:jc w:val="both"/>
        <w:rPr>
          <w:i/>
          <w:sz w:val="28"/>
          <w:szCs w:val="28"/>
        </w:rPr>
      </w:pPr>
      <w:r>
        <w:rPr>
          <w:i/>
          <w:sz w:val="28"/>
          <w:szCs w:val="28"/>
        </w:rPr>
        <w:t xml:space="preserve">2. Báo cáo thẩm định của Sở Tư pháp. </w:t>
      </w:r>
    </w:p>
    <w:p>
      <w:pPr>
        <w:widowControl w:val="0"/>
        <w:shd w:val="clear" w:color="auto" w:fill="FFFFFF"/>
        <w:spacing w:before="60" w:after="60" w:line="360" w:lineRule="exact"/>
        <w:ind w:firstLine="709"/>
        <w:jc w:val="both"/>
        <w:rPr>
          <w:i/>
          <w:sz w:val="28"/>
          <w:szCs w:val="28"/>
        </w:rPr>
      </w:pPr>
      <w:r>
        <w:rPr>
          <w:i/>
          <w:sz w:val="28"/>
          <w:szCs w:val="28"/>
        </w:rPr>
        <w:t xml:space="preserve">3. Bản tổng hợp, giải trình, tiếp thu ý kiến thẩm định; ý kiến góp ý của cơ quan, tổ chức, cá nhân; Bản chụp ý kiến góp ý. </w:t>
      </w:r>
    </w:p>
    <w:p>
      <w:pPr>
        <w:widowControl w:val="0"/>
        <w:shd w:val="clear" w:color="auto" w:fill="FFFFFF"/>
        <w:spacing w:before="60" w:after="60" w:line="360" w:lineRule="exact"/>
        <w:ind w:firstLine="709"/>
        <w:jc w:val="both"/>
        <w:rPr>
          <w:i/>
          <w:sz w:val="28"/>
          <w:szCs w:val="28"/>
        </w:rPr>
      </w:pPr>
      <w:r>
        <w:rPr>
          <w:i/>
          <w:sz w:val="28"/>
          <w:szCs w:val="28"/>
        </w:rPr>
        <w:t>4. Báo cáo rà soát các văn bản quy phạm pháp luật có liên quan</w:t>
      </w:r>
      <w:r>
        <w:rPr>
          <w:i/>
          <w:sz w:val="28"/>
          <w:szCs w:val="28"/>
          <w:lang w:val="en-US"/>
        </w:rPr>
        <w:t>)</w:t>
      </w:r>
      <w:r>
        <w:rPr>
          <w:i/>
          <w:sz w:val="28"/>
          <w:szCs w:val="28"/>
        </w:rPr>
        <w:t>.</w:t>
      </w:r>
    </w:p>
    <w:p>
      <w:pPr>
        <w:widowControl w:val="0"/>
        <w:shd w:val="clear" w:color="auto" w:fill="FFFFFF"/>
        <w:spacing w:before="120"/>
        <w:ind w:firstLine="709"/>
        <w:jc w:val="both"/>
        <w:rPr>
          <w:sz w:val="28"/>
          <w:szCs w:val="28"/>
        </w:rPr>
      </w:pPr>
    </w:p>
    <w:tbl>
      <w:tblPr>
        <w:tblStyle w:val="a0"/>
        <w:tblW w:w="9071" w:type="dxa"/>
        <w:jc w:val="center"/>
        <w:tblLayout w:type="fixed"/>
        <w:tblLook w:val="0000" w:firstRow="0" w:lastRow="0" w:firstColumn="0" w:lastColumn="0" w:noHBand="0" w:noVBand="0"/>
      </w:tblPr>
      <w:tblGrid>
        <w:gridCol w:w="4535"/>
        <w:gridCol w:w="4536"/>
      </w:tblGrid>
      <w:tr>
        <w:trPr>
          <w:trHeight w:val="2542"/>
          <w:jc w:val="center"/>
        </w:trPr>
        <w:tc>
          <w:tcPr>
            <w:tcW w:w="4535" w:type="dxa"/>
          </w:tcPr>
          <w:p>
            <w:pPr>
              <w:rPr>
                <w:sz w:val="20"/>
                <w:szCs w:val="20"/>
              </w:rPr>
            </w:pPr>
            <w:r>
              <w:rPr>
                <w:b/>
                <w:i/>
              </w:rPr>
              <w:t>Nơi nhận:</w:t>
            </w:r>
            <w:r>
              <w:rPr>
                <w:b/>
                <w:i/>
              </w:rPr>
              <w:br/>
            </w:r>
            <w:r>
              <w:rPr>
                <w:sz w:val="22"/>
                <w:szCs w:val="22"/>
              </w:rPr>
              <w:t>- Như trên;</w:t>
            </w:r>
          </w:p>
          <w:p>
            <w:pPr>
              <w:rPr>
                <w:sz w:val="22"/>
                <w:szCs w:val="22"/>
              </w:rPr>
            </w:pPr>
            <w:r>
              <w:rPr>
                <w:sz w:val="22"/>
                <w:szCs w:val="22"/>
              </w:rPr>
              <w:t>- VP UBND tỉnh (để biết);</w:t>
            </w:r>
          </w:p>
          <w:p>
            <w:pPr>
              <w:rPr>
                <w:sz w:val="22"/>
                <w:szCs w:val="22"/>
              </w:rPr>
            </w:pPr>
            <w:r>
              <w:rPr>
                <w:sz w:val="22"/>
                <w:szCs w:val="22"/>
              </w:rPr>
              <w:t>- Giám đốc, các PGĐ Sở (b/c);</w:t>
            </w:r>
          </w:p>
          <w:p>
            <w:pPr>
              <w:widowControl w:val="0"/>
              <w:tabs>
                <w:tab w:val="left" w:pos="567"/>
              </w:tabs>
              <w:jc w:val="both"/>
              <w:rPr>
                <w:sz w:val="20"/>
                <w:szCs w:val="20"/>
              </w:rPr>
            </w:pPr>
            <w:r>
              <w:rPr>
                <w:sz w:val="22"/>
                <w:szCs w:val="22"/>
              </w:rPr>
              <w:t>- VP, TTra, các PCM, ĐVTT Sở;</w:t>
            </w:r>
          </w:p>
          <w:p>
            <w:pPr>
              <w:widowControl w:val="0"/>
              <w:jc w:val="both"/>
              <w:rPr>
                <w:sz w:val="22"/>
                <w:szCs w:val="22"/>
              </w:rPr>
            </w:pPr>
            <w:r>
              <w:rPr>
                <w:sz w:val="22"/>
                <w:szCs w:val="22"/>
              </w:rPr>
              <w:t xml:space="preserve">- Lưu: VT, QLĐĐ </w:t>
            </w:r>
            <w:r>
              <w:rPr>
                <w:sz w:val="12"/>
                <w:szCs w:val="12"/>
              </w:rPr>
              <w:t>(NY)</w:t>
            </w:r>
            <w:r>
              <w:rPr>
                <w:sz w:val="22"/>
                <w:szCs w:val="22"/>
              </w:rPr>
              <w:t>. (02)</w:t>
            </w:r>
          </w:p>
          <w:p>
            <w:pPr>
              <w:widowControl w:val="0"/>
              <w:jc w:val="both"/>
              <w:rPr>
                <w:sz w:val="16"/>
                <w:szCs w:val="16"/>
              </w:rPr>
            </w:pPr>
          </w:p>
        </w:tc>
        <w:tc>
          <w:tcPr>
            <w:tcW w:w="4536" w:type="dxa"/>
          </w:tcPr>
          <w:p>
            <w:pPr>
              <w:widowControl w:val="0"/>
              <w:jc w:val="center"/>
              <w:rPr>
                <w:b/>
                <w:sz w:val="28"/>
                <w:szCs w:val="28"/>
              </w:rPr>
            </w:pPr>
            <w:r>
              <w:rPr>
                <w:b/>
                <w:sz w:val="28"/>
                <w:szCs w:val="28"/>
              </w:rPr>
              <w:t>KT. GIÁM ĐỐC</w:t>
            </w:r>
          </w:p>
          <w:p>
            <w:pPr>
              <w:widowControl w:val="0"/>
              <w:jc w:val="center"/>
              <w:rPr>
                <w:b/>
                <w:sz w:val="28"/>
                <w:szCs w:val="28"/>
              </w:rPr>
            </w:pPr>
            <w:r>
              <w:rPr>
                <w:b/>
                <w:sz w:val="28"/>
                <w:szCs w:val="28"/>
              </w:rPr>
              <w:t>PHÓ GIÁM ĐỐC</w:t>
            </w:r>
          </w:p>
          <w:p>
            <w:pPr>
              <w:widowControl w:val="0"/>
              <w:tabs>
                <w:tab w:val="left" w:pos="567"/>
              </w:tabs>
              <w:jc w:val="center"/>
              <w:rPr>
                <w:b/>
                <w:sz w:val="28"/>
                <w:szCs w:val="28"/>
              </w:rPr>
            </w:pPr>
          </w:p>
          <w:p>
            <w:pPr>
              <w:widowControl w:val="0"/>
              <w:tabs>
                <w:tab w:val="left" w:pos="567"/>
              </w:tabs>
              <w:jc w:val="center"/>
              <w:rPr>
                <w:b/>
                <w:sz w:val="28"/>
                <w:szCs w:val="28"/>
              </w:rPr>
            </w:pPr>
          </w:p>
          <w:p>
            <w:pPr>
              <w:widowControl w:val="0"/>
              <w:tabs>
                <w:tab w:val="left" w:pos="567"/>
              </w:tabs>
              <w:jc w:val="center"/>
              <w:rPr>
                <w:b/>
                <w:sz w:val="28"/>
                <w:szCs w:val="28"/>
              </w:rPr>
            </w:pPr>
          </w:p>
          <w:p>
            <w:pPr>
              <w:widowControl w:val="0"/>
              <w:jc w:val="center"/>
              <w:rPr>
                <w:b/>
                <w:sz w:val="28"/>
                <w:szCs w:val="28"/>
              </w:rPr>
            </w:pPr>
          </w:p>
          <w:p>
            <w:pPr>
              <w:widowControl w:val="0"/>
              <w:jc w:val="center"/>
              <w:rPr>
                <w:b/>
                <w:sz w:val="28"/>
                <w:szCs w:val="28"/>
              </w:rPr>
            </w:pPr>
          </w:p>
          <w:p>
            <w:pPr>
              <w:widowControl w:val="0"/>
              <w:tabs>
                <w:tab w:val="left" w:pos="567"/>
              </w:tabs>
              <w:jc w:val="center"/>
              <w:rPr>
                <w:b/>
                <w:sz w:val="28"/>
                <w:szCs w:val="28"/>
              </w:rPr>
            </w:pPr>
          </w:p>
        </w:tc>
      </w:tr>
    </w:tbl>
    <w:p>
      <w:pPr>
        <w:shd w:val="clear" w:color="auto" w:fill="FFFFFF"/>
        <w:spacing w:before="120"/>
        <w:ind w:firstLine="540"/>
        <w:jc w:val="both"/>
        <w:rPr>
          <w:sz w:val="28"/>
          <w:szCs w:val="28"/>
        </w:rPr>
      </w:pPr>
    </w:p>
    <w:sectPr>
      <w:headerReference w:type="default" r:id="rId9"/>
      <w:footerReference w:type="even" r:id="rId10"/>
      <w:pgSz w:w="11906" w:h="16838"/>
      <w:pgMar w:top="1134" w:right="1134" w:bottom="1134" w:left="1701" w:header="709" w:footer="53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altName w:val="ESRI NIMA VMAP1&amp;2 PT"/>
    <w:charset w:val="00"/>
    <w:family w:val="swiss"/>
    <w:pitch w:val="variable"/>
    <w:sig w:usb0="00000003" w:usb1="00000000" w:usb2="00000000" w:usb3="00000000" w:csb0="00000001" w:csb1="00000000"/>
  </w:font>
  <w:font w:name="TimesNewRomanPS-ItalicMT">
    <w:panose1 w:val="00000000000000000000"/>
    <w:charset w:val="00"/>
    <w:family w:val="roman"/>
    <w:notTrueType/>
    <w:pitch w:val="default"/>
  </w:font>
  <w:font w:name="TimesNewRomanPS-BoldItalicMT">
    <w:altName w:val="MV Bol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end"/>
    </w:r>
  </w:p>
  <w:p>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FootnoteText"/>
        <w:jc w:val="both"/>
        <w:rPr>
          <w:sz w:val="18"/>
          <w:szCs w:val="18"/>
        </w:rPr>
      </w:pPr>
      <w:r>
        <w:rPr>
          <w:rStyle w:val="FootnoteReference"/>
          <w:rFonts w:eastAsia="Calibri"/>
          <w:sz w:val="18"/>
          <w:szCs w:val="18"/>
        </w:rPr>
        <w:footnoteRef/>
      </w:r>
      <w:r>
        <w:rPr>
          <w:sz w:val="18"/>
          <w:szCs w:val="18"/>
        </w:rPr>
        <w:t xml:space="preserve"> </w:t>
      </w:r>
      <w:r>
        <w:rPr>
          <w:b/>
          <w:i/>
          <w:sz w:val="18"/>
          <w:szCs w:val="18"/>
        </w:rPr>
        <w:t xml:space="preserve">Điều </w:t>
      </w:r>
      <w:r>
        <w:rPr>
          <w:b/>
          <w:i/>
          <w:sz w:val="18"/>
          <w:szCs w:val="18"/>
          <w:lang w:val="en-US"/>
        </w:rPr>
        <w:t>8</w:t>
      </w:r>
      <w:r>
        <w:rPr>
          <w:b/>
          <w:i/>
          <w:sz w:val="18"/>
          <w:szCs w:val="18"/>
        </w:rPr>
        <w:t>. Các yếu tố ảnh hưởng đến giá đất</w:t>
      </w:r>
    </w:p>
    <w:p>
      <w:pPr>
        <w:spacing w:before="120"/>
        <w:jc w:val="both"/>
        <w:rPr>
          <w:sz w:val="18"/>
          <w:szCs w:val="18"/>
        </w:rPr>
      </w:pPr>
      <w:r>
        <w:rPr>
          <w:sz w:val="18"/>
          <w:szCs w:val="18"/>
        </w:rPr>
        <w:t>…</w:t>
      </w:r>
    </w:p>
    <w:p>
      <w:pPr>
        <w:spacing w:before="60" w:after="60"/>
        <w:jc w:val="both"/>
        <w:rPr>
          <w:sz w:val="18"/>
          <w:szCs w:val="18"/>
        </w:rPr>
      </w:pPr>
      <w:r>
        <w:rPr>
          <w:sz w:val="18"/>
          <w:szCs w:val="18"/>
        </w:rPr>
        <w:t>3. Sở Tài nguyên và Môi trường chủ trì, phối hợp với các Sở, ngành có liên quan tham mưu, trình Ủy ban nhân dân cấp tỉnh quy định cụ thể các yếu tố ảnh hưởng đến giá đất, mức độ chênh lệch tối đa của từng yếu tố ảnh hưởng đến giá đất để xác định mức tương đồng nhất định, cách thức điều chỉnh đối với từng mức độ chênh lệch của từng yếu tố ảnh hưởng đến giá đất.</w:t>
      </w:r>
    </w:p>
  </w:footnote>
  <w:footnote w:id="2">
    <w:p>
      <w:pPr>
        <w:pBdr>
          <w:top w:val="nil"/>
          <w:left w:val="nil"/>
          <w:bottom w:val="nil"/>
          <w:right w:val="nil"/>
          <w:between w:val="nil"/>
        </w:pBdr>
        <w:jc w:val="both"/>
        <w:rPr>
          <w:color w:val="000000"/>
          <w:sz w:val="18"/>
          <w:szCs w:val="18"/>
        </w:rPr>
      </w:pPr>
      <w:r>
        <w:rPr>
          <w:rStyle w:val="FootnoteReference"/>
        </w:rPr>
        <w:footnoteRef/>
      </w:r>
      <w:r>
        <w:rPr>
          <w:color w:val="000000"/>
          <w:sz w:val="18"/>
          <w:szCs w:val="18"/>
        </w:rPr>
        <w:t xml:space="preserve"> </w:t>
      </w:r>
      <w:r>
        <w:rPr>
          <w:color w:val="000000"/>
          <w:sz w:val="18"/>
          <w:szCs w:val="18"/>
        </w:rPr>
        <w:t xml:space="preserve">Ngày 29/6/2024, Quốc hội thông qua Luật số 43/2024/QH15 về việc sửa đổi, bổ sung một số điều của Luật Đất đai số 31/2024/QH15, Luật Nhà ở số 27/2023/QH15, Luật Kinh doanh bất động sản số 29/2023/QH15 và Luật Các tổ chức tín dụng số 32/2024/QH15. Theo đó, </w:t>
      </w:r>
      <w:r>
        <w:rPr>
          <w:b/>
          <w:i/>
          <w:color w:val="000000"/>
          <w:sz w:val="18"/>
          <w:szCs w:val="18"/>
        </w:rPr>
        <w:t>Luật Đất đai sẽ có hiệu lực ngày 01/08/2024</w:t>
      </w:r>
      <w:r>
        <w:rPr>
          <w:color w:val="000000"/>
          <w:sz w:val="18"/>
          <w:szCs w:val="18"/>
        </w:rPr>
        <w:t>.</w:t>
      </w:r>
    </w:p>
  </w:footnote>
  <w:footnote w:id="3">
    <w:p>
      <w:pPr>
        <w:pBdr>
          <w:top w:val="nil"/>
          <w:left w:val="nil"/>
          <w:bottom w:val="nil"/>
          <w:right w:val="nil"/>
          <w:between w:val="nil"/>
        </w:pBdr>
        <w:spacing w:before="60"/>
        <w:jc w:val="both"/>
        <w:rPr>
          <w:color w:val="000000"/>
          <w:sz w:val="18"/>
          <w:szCs w:val="18"/>
          <w:highlight w:val="white"/>
        </w:rPr>
      </w:pPr>
      <w:r>
        <w:rPr>
          <w:rStyle w:val="FootnoteReference"/>
        </w:rPr>
        <w:footnoteRef/>
      </w:r>
      <w:r>
        <w:rPr>
          <w:color w:val="000000"/>
          <w:sz w:val="18"/>
          <w:szCs w:val="18"/>
        </w:rPr>
        <w:t xml:space="preserve"> </w:t>
      </w:r>
      <w:r>
        <w:rPr>
          <w:color w:val="000000"/>
          <w:sz w:val="18"/>
          <w:szCs w:val="18"/>
          <w:lang w:val="en-US"/>
        </w:rPr>
        <w:t>Tại k</w:t>
      </w:r>
      <w:r>
        <w:rPr>
          <w:color w:val="000000"/>
          <w:sz w:val="18"/>
          <w:szCs w:val="18"/>
        </w:rPr>
        <w:t xml:space="preserve">hoản 3 Điều </w:t>
      </w:r>
      <w:r>
        <w:rPr>
          <w:color w:val="000000"/>
          <w:sz w:val="18"/>
          <w:szCs w:val="18"/>
          <w:lang w:val="en-US"/>
        </w:rPr>
        <w:t>8</w:t>
      </w:r>
      <w:r>
        <w:rPr>
          <w:color w:val="000000"/>
          <w:sz w:val="18"/>
          <w:szCs w:val="18"/>
        </w:rPr>
        <w:t xml:space="preserve"> Nghị định số 71/2024/NĐ-CP quy định: </w:t>
      </w:r>
    </w:p>
    <w:p>
      <w:pPr>
        <w:pStyle w:val="FootnoteText"/>
        <w:spacing w:before="60"/>
        <w:jc w:val="both"/>
        <w:rPr>
          <w:i/>
          <w:sz w:val="18"/>
          <w:szCs w:val="18"/>
        </w:rPr>
      </w:pPr>
      <w:r>
        <w:rPr>
          <w:i/>
          <w:sz w:val="18"/>
          <w:szCs w:val="18"/>
        </w:rPr>
        <w:t>“</w:t>
      </w:r>
      <w:r>
        <w:rPr>
          <w:b/>
          <w:i/>
          <w:sz w:val="18"/>
          <w:szCs w:val="18"/>
        </w:rPr>
        <w:t xml:space="preserve">Điều </w:t>
      </w:r>
      <w:r>
        <w:rPr>
          <w:b/>
          <w:i/>
          <w:sz w:val="18"/>
          <w:szCs w:val="18"/>
          <w:lang w:val="en-US"/>
        </w:rPr>
        <w:t>8</w:t>
      </w:r>
      <w:r>
        <w:rPr>
          <w:b/>
          <w:i/>
          <w:sz w:val="18"/>
          <w:szCs w:val="18"/>
        </w:rPr>
        <w:t>. Các yếu tố ảnh hưởng đến giá đất</w:t>
      </w:r>
    </w:p>
    <w:p>
      <w:pPr>
        <w:spacing w:before="60"/>
        <w:jc w:val="both"/>
        <w:rPr>
          <w:i/>
          <w:sz w:val="18"/>
          <w:szCs w:val="18"/>
        </w:rPr>
      </w:pPr>
      <w:r>
        <w:rPr>
          <w:i/>
          <w:sz w:val="18"/>
          <w:szCs w:val="18"/>
        </w:rPr>
        <w:t>…</w:t>
      </w:r>
    </w:p>
    <w:p>
      <w:pPr>
        <w:spacing w:before="60"/>
        <w:jc w:val="both"/>
        <w:rPr>
          <w:i/>
          <w:sz w:val="18"/>
          <w:szCs w:val="18"/>
        </w:rPr>
      </w:pPr>
      <w:r>
        <w:rPr>
          <w:i/>
          <w:sz w:val="18"/>
          <w:szCs w:val="18"/>
        </w:rPr>
        <w:t>3. Sở Tài nguyên và Môi trường chủ trì, phối hợp với các Sở, ngành có liên quan tham mưu, trình Ủy ban nhân dân cấp tỉnh quy định cụ thể các yếu tố ảnh hưởng đến giá đất, mức độ chênh lệch tối đa của từng yếu tố ảnh hưởng đến giá đất để xác định mức tương đồng nhất định, cách thức điều chỉnh đối với từng mức độ chênh lệch của từng yếu tố ảnh hưởng đến giá đất.</w:t>
      </w:r>
    </w:p>
    <w:p>
      <w:pPr>
        <w:spacing w:before="60"/>
        <w:jc w:val="both"/>
        <w:rPr>
          <w:i/>
          <w:sz w:val="18"/>
          <w:szCs w:val="18"/>
          <w:highlight w:val="yellow"/>
          <w:u w:val="single"/>
          <w:lang w:val="en-US"/>
        </w:rPr>
      </w:pPr>
      <w:r>
        <w:rPr>
          <w:i/>
          <w:sz w:val="18"/>
          <w:szCs w:val="18"/>
          <w:u w:val="single"/>
        </w:rPr>
        <w:t>Trường hợp Ủy ban nhân dân cấp tỉnh chưa quy định hoặc quy định còn thiếu các yếu tố ảnh hưởng đến giá đất, mức độ chênh lệch tối đa của từng yếu tố ảnh hưởng đến giá đất, cách thức điều chỉnh đối với từng mức độ chênh lệch của từng yếu tố ảnh hưởng đến giá đất thì tổ chức thực hiện định giá đất đề xuất cụ thể trong Báo cáo thuyết minh xây dựng phương án giá đất để Hội đồng thẩm định giá đất xem xét, quyết định</w:t>
      </w:r>
      <w:r>
        <w:rPr>
          <w:i/>
          <w:sz w:val="18"/>
          <w:szCs w:val="18"/>
          <w:u w:val="single"/>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nil"/>
        <w:left w:val="nil"/>
        <w:bottom w:val="nil"/>
        <w:right w:val="nil"/>
        <w:between w:val="nil"/>
      </w:pBdr>
      <w:tabs>
        <w:tab w:val="center" w:pos="4680"/>
        <w:tab w:val="right" w:pos="9360"/>
      </w:tabs>
      <w:jc w:val="center"/>
      <w:rPr>
        <w:color w:val="000000"/>
      </w:rPr>
    </w:pPr>
    <w:r>
      <w:rPr>
        <w:color w:val="000000"/>
        <w:sz w:val="28"/>
        <w:szCs w:val="28"/>
      </w:rPr>
      <w:fldChar w:fldCharType="begin"/>
    </w:r>
    <w:r>
      <w:rPr>
        <w:color w:val="000000"/>
        <w:sz w:val="28"/>
        <w:szCs w:val="28"/>
      </w:rPr>
      <w:instrText>PAGE</w:instrText>
    </w:r>
    <w:r>
      <w:rPr>
        <w:color w:val="000000"/>
        <w:sz w:val="28"/>
        <w:szCs w:val="28"/>
      </w:rPr>
      <w:fldChar w:fldCharType="separate"/>
    </w:r>
    <w:r>
      <w:rPr>
        <w:noProof/>
        <w:color w:val="000000"/>
        <w:sz w:val="28"/>
        <w:szCs w:val="28"/>
      </w:rPr>
      <w:t>8</w:t>
    </w:r>
    <w:r>
      <w:rPr>
        <w:color w:val="000000"/>
        <w:sz w:val="28"/>
        <w:szCs w:val="28"/>
      </w:rPr>
      <w:fldChar w:fldCharType="end"/>
    </w:r>
  </w:p>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A0B7D"/>
    <w:multiLevelType w:val="hybridMultilevel"/>
    <w:tmpl w:val="CDB64C70"/>
    <w:lvl w:ilvl="0" w:tplc="721AD4FE">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D7F9B4A9-B228-4A87-A6ED-DE3324531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vi-VN"/>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paragraph" w:styleId="Heading8">
    <w:name w:val="heading 8"/>
    <w:basedOn w:val="Normal"/>
    <w:next w:val="Normal"/>
    <w:link w:val="Heading8Char"/>
    <w:uiPriority w:val="9"/>
    <w:semiHidden/>
    <w:unhideWhenUsed/>
    <w:qFormat/>
    <w:pPr>
      <w:spacing w:before="240" w:after="60"/>
      <w:outlineLvl w:val="7"/>
    </w:pPr>
    <w:rPr>
      <w:rFonts w:ascii="Calibri" w:hAnsi="Calibri"/>
      <w:i/>
      <w:iCs/>
      <w:lang w:val="en-US" w:eastAsia="en-US"/>
    </w:rPr>
  </w:style>
  <w:style w:type="paragraph" w:styleId="Heading9">
    <w:name w:val="heading 9"/>
    <w:basedOn w:val="Normal"/>
    <w:next w:val="Normal"/>
    <w:link w:val="Heading9Char"/>
    <w:qFormat/>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apple-converted-space">
    <w:name w:val="apple-converted-space"/>
    <w:basedOn w:val="DefaultParagraphFont"/>
  </w:style>
  <w:style w:type="character" w:styleId="Hyperlink">
    <w:name w:val="Hyperlink"/>
    <w:rPr>
      <w:color w:val="0000FF"/>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NormalWeb">
    <w:name w:val="Normal (Web)"/>
    <w:aliases w:val="Char Char Char Char Char Char Char Char Char Char,Char Char Char Char Char Char Char Char Char Char Char,Normal (Web) Char Char Char Char Char,Normal (Web) Char Char Char Char,Char Char Char,Char Char Cha"/>
    <w:basedOn w:val="Normal"/>
    <w:link w:val="NormalWebChar"/>
    <w:uiPriority w:val="99"/>
    <w:qFormat/>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pPr>
      <w:widowControl w:val="0"/>
      <w:jc w:val="both"/>
    </w:pPr>
    <w:rPr>
      <w:rFonts w:eastAsia="SimSun" w:cs="Times New Roman"/>
      <w:kern w:val="2"/>
      <w:sz w:val="24"/>
      <w:szCs w:val="24"/>
      <w:lang w:val="en-US" w:eastAsia="zh-CN"/>
    </w:rPr>
  </w:style>
  <w:style w:type="paragraph" w:styleId="DocumentMap">
    <w:name w:val="Document Map"/>
    <w:basedOn w:val="Normal"/>
    <w:semiHidden/>
    <w:pPr>
      <w:shd w:val="clear" w:color="auto" w:fill="000080"/>
    </w:pPr>
    <w:rPr>
      <w:rFonts w:ascii="Tahoma" w:hAnsi="Tahoma" w:cs="Tahoma"/>
      <w:sz w:val="20"/>
      <w:szCs w:val="20"/>
    </w:rPr>
  </w:style>
  <w:style w:type="paragraph" w:styleId="BodyText2">
    <w:name w:val="Body Text 2"/>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rPr>
  </w:style>
  <w:style w:type="paragraph" w:customStyle="1" w:styleId="Char0">
    <w:name w:val="Char"/>
    <w:basedOn w:val="Normal"/>
    <w:pPr>
      <w:spacing w:after="160" w:line="240" w:lineRule="exact"/>
    </w:pPr>
    <w:rPr>
      <w:rFonts w:ascii="Verdana" w:hAnsi="Verdana"/>
      <w:sz w:val="20"/>
      <w:szCs w:val="20"/>
      <w:lang w:val="en-US" w:eastAsia="en-US"/>
    </w:rPr>
  </w:style>
  <w:style w:type="paragraph" w:styleId="BodyText">
    <w:name w:val="Body Text"/>
    <w:basedOn w:val="Normal"/>
    <w:link w:val="BodyTextChar"/>
    <w:pPr>
      <w:spacing w:after="120"/>
    </w:pPr>
  </w:style>
  <w:style w:type="character" w:customStyle="1" w:styleId="Heading1Char">
    <w:name w:val="Heading 1 Char"/>
    <w:link w:val="Heading1"/>
    <w:rPr>
      <w:rFonts w:ascii="Arial" w:hAnsi="Arial" w:cs="Arial"/>
      <w:b/>
      <w:bCs/>
      <w:kern w:val="32"/>
      <w:sz w:val="32"/>
      <w:szCs w:val="32"/>
    </w:rPr>
  </w:style>
  <w:style w:type="character" w:customStyle="1" w:styleId="Heading9Char">
    <w:name w:val="Heading 9 Char"/>
    <w:link w:val="Heading9"/>
    <w:rPr>
      <w:rFonts w:ascii="Arial" w:hAnsi="Arial" w:cs="Arial"/>
      <w:sz w:val="22"/>
      <w:szCs w:val="22"/>
    </w:rPr>
  </w:style>
  <w:style w:type="character" w:customStyle="1" w:styleId="BodyTextChar">
    <w:name w:val="Body Text Char"/>
    <w:link w:val="BodyText"/>
    <w:rPr>
      <w:sz w:val="24"/>
      <w:szCs w:val="24"/>
      <w:lang w:val="vi-VN" w:eastAsia="vi-VN"/>
    </w:rPr>
  </w:style>
  <w:style w:type="paragraph" w:styleId="BodyTextIndent2">
    <w:name w:val="Body Text Indent 2"/>
    <w:basedOn w:val="Normal"/>
    <w:link w:val="BodyTextIndent2Char"/>
    <w:uiPriority w:val="99"/>
    <w:unhideWhenUsed/>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Pr>
      <w:rFonts w:ascii=".VnTime" w:hAnsi=".VnTime"/>
      <w:sz w:val="24"/>
      <w:szCs w:val="24"/>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vi-VN" w:eastAsia="vi-VN"/>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Pr>
      <w:rFonts w:ascii="Tahoma" w:hAnsi="Tahoma" w:cs="Tahoma"/>
      <w:sz w:val="16"/>
      <w:szCs w:val="16"/>
      <w:lang w:val="vi-VN" w:eastAsia="vi-VN"/>
    </w:rPr>
  </w:style>
  <w:style w:type="character" w:customStyle="1" w:styleId="FooterChar">
    <w:name w:val="Footer Char"/>
    <w:link w:val="Footer"/>
    <w:rPr>
      <w:sz w:val="24"/>
      <w:szCs w:val="24"/>
      <w:lang w:val="vi-VN" w:eastAsia="vi-VN"/>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Tegn Char"/>
    <w:basedOn w:val="Normal"/>
    <w:link w:val="FootnoteTextChar"/>
    <w:rPr>
      <w:sz w:val="20"/>
      <w:szCs w:val="20"/>
    </w:rPr>
  </w:style>
  <w:style w:type="character" w:customStyle="1" w:styleId="FootnoteTextChar">
    <w:name w:val="Footnote Text Char"/>
    <w:aliases w:val="Footnote Text Char Tegn Char Char"/>
    <w:link w:val="FootnoteText"/>
    <w:rPr>
      <w:lang w:val="vi-VN" w:eastAsia="vi-VN"/>
    </w:rPr>
  </w:style>
  <w:style w:type="character" w:styleId="FootnoteReference">
    <w:name w:val="footnote reference"/>
    <w:rPr>
      <w:vertAlign w:val="superscript"/>
    </w:rPr>
  </w:style>
  <w:style w:type="character" w:customStyle="1" w:styleId="Heading8Char">
    <w:name w:val="Heading 8 Char"/>
    <w:link w:val="Heading8"/>
    <w:uiPriority w:val="9"/>
    <w:semiHidden/>
    <w:rPr>
      <w:rFonts w:ascii="Calibri" w:hAnsi="Calibri"/>
      <w:i/>
      <w:iCs/>
      <w:sz w:val="24"/>
      <w:szCs w:val="24"/>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rPr>
      <w:sz w:val="24"/>
      <w:szCs w:val="24"/>
      <w:lang w:val="vi-VN" w:eastAsia="vi-VN"/>
    </w:rPr>
  </w:style>
  <w:style w:type="character" w:customStyle="1" w:styleId="Heading2Char">
    <w:name w:val="Heading 2 Char"/>
    <w:basedOn w:val="DefaultParagraphFont"/>
    <w:link w:val="Heading2"/>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uiPriority w:val="34"/>
    <w:qFormat/>
    <w:pPr>
      <w:ind w:left="720"/>
      <w:contextualSpacing/>
    </w:pPr>
  </w:style>
  <w:style w:type="character" w:customStyle="1" w:styleId="fontstyle21">
    <w:name w:val="fontstyle21"/>
    <w:basedOn w:val="DefaultParagraphFont"/>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Pr>
      <w:rFonts w:ascii="TimesNewRomanPS-BoldItalicMT" w:hAnsi="TimesNewRomanPS-BoldItalicMT" w:hint="default"/>
      <w:b/>
      <w:bCs/>
      <w:i/>
      <w:iCs/>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NormalWebChar">
    <w:name w:val="Normal (Web) Char"/>
    <w:aliases w:val="Char Char Char Char Char Char Char Char Char Char Char1,Char Char Char Char Char Char Char Char Char Char Char Char,Normal (Web) Char Char Char Char Char Char,Normal (Web) Char Char Char Char Char1,Char Char Char Char1"/>
    <w:link w:val="NormalWeb"/>
    <w:uiPriority w:val="99"/>
    <w:locked/>
    <w:rPr>
      <w:rFonts w:ascii="VNI-Times" w:hAnsi="VNI-Times" w:cs="VN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743609">
      <w:bodyDiv w:val="1"/>
      <w:marLeft w:val="0"/>
      <w:marRight w:val="0"/>
      <w:marTop w:val="0"/>
      <w:marBottom w:val="0"/>
      <w:divBdr>
        <w:top w:val="none" w:sz="0" w:space="0" w:color="auto"/>
        <w:left w:val="none" w:sz="0" w:space="0" w:color="auto"/>
        <w:bottom w:val="none" w:sz="0" w:space="0" w:color="auto"/>
        <w:right w:val="none" w:sz="0" w:space="0" w:color="auto"/>
      </w:divBdr>
    </w:div>
    <w:div w:id="749622788">
      <w:bodyDiv w:val="1"/>
      <w:marLeft w:val="0"/>
      <w:marRight w:val="0"/>
      <w:marTop w:val="0"/>
      <w:marBottom w:val="0"/>
      <w:divBdr>
        <w:top w:val="none" w:sz="0" w:space="0" w:color="auto"/>
        <w:left w:val="none" w:sz="0" w:space="0" w:color="auto"/>
        <w:bottom w:val="none" w:sz="0" w:space="0" w:color="auto"/>
        <w:right w:val="none" w:sz="0" w:space="0" w:color="auto"/>
      </w:divBdr>
    </w:div>
    <w:div w:id="1122841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GqGeDJmFM2Kl4SmpdgEMa19O0g==">CgMxLjAyCWlkLmdqZGd4czIKaWQuMzBqMHpsbDIJaC4xZm9iOXRlMgppZC4zem55c2g3MgppZC4yZXQ5MnAwOAByITFBeF91YjlpXzZQamt5akhwQUlOTV9fUGxQb2VodTlQbQ==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8232C7E-9698-402B-86A5-CF7E1B33C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2298</Words>
  <Characters>13102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NGUYETPC</cp:lastModifiedBy>
  <cp:revision>3</cp:revision>
  <cp:lastPrinted>2024-10-08T08:58:00Z</cp:lastPrinted>
  <dcterms:created xsi:type="dcterms:W3CDTF">2024-11-13T02:12:00Z</dcterms:created>
  <dcterms:modified xsi:type="dcterms:W3CDTF">2024-11-13T02:22:00Z</dcterms:modified>
</cp:coreProperties>
</file>